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4193F" w14:textId="3854ED5F" w:rsidR="00227D76" w:rsidRDefault="006B53A0" w:rsidP="003B3C10">
      <w:pPr>
        <w:rPr>
          <w:b/>
          <w:bCs/>
          <w:color w:val="ED7D31" w:themeColor="accent2"/>
        </w:rPr>
      </w:pPr>
      <w:r>
        <w:rPr>
          <w:noProof/>
        </w:rPr>
        <w:drawing>
          <wp:anchor distT="0" distB="0" distL="114300" distR="114300" simplePos="0" relativeHeight="251658245" behindDoc="0" locked="0" layoutInCell="1" allowOverlap="1" wp14:anchorId="2D2337E5" wp14:editId="09B19E79">
            <wp:simplePos x="0" y="0"/>
            <wp:positionH relativeFrom="column">
              <wp:posOffset>5054600</wp:posOffset>
            </wp:positionH>
            <wp:positionV relativeFrom="paragraph">
              <wp:posOffset>-101446</wp:posOffset>
            </wp:positionV>
            <wp:extent cx="1376401" cy="593725"/>
            <wp:effectExtent l="0" t="0" r="0" b="0"/>
            <wp:wrapNone/>
            <wp:docPr id="2113960340" name="Afbeelding 2113960340" descr="CityTec (@CityTe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Tec (@CityTec) | Twitt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250" b="43600"/>
                    <a:stretch/>
                  </pic:blipFill>
                  <pic:spPr bwMode="auto">
                    <a:xfrm>
                      <a:off x="0" y="0"/>
                      <a:ext cx="1376401" cy="59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4712">
        <w:rPr>
          <w:noProof/>
        </w:rPr>
        <w:drawing>
          <wp:anchor distT="0" distB="0" distL="114300" distR="114300" simplePos="0" relativeHeight="251658244" behindDoc="0" locked="0" layoutInCell="1" allowOverlap="1" wp14:anchorId="65BE1E0F" wp14:editId="1031838C">
            <wp:simplePos x="0" y="0"/>
            <wp:positionH relativeFrom="column">
              <wp:posOffset>5066030</wp:posOffset>
            </wp:positionH>
            <wp:positionV relativeFrom="paragraph">
              <wp:posOffset>-99695</wp:posOffset>
            </wp:positionV>
            <wp:extent cx="1376401" cy="593725"/>
            <wp:effectExtent l="0" t="0" r="0" b="0"/>
            <wp:wrapNone/>
            <wp:docPr id="1234656742" name="Afbeelding 1234656742" descr="CityTec (@CityTe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Tec (@CityTec) | Twitt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250" b="43600"/>
                    <a:stretch/>
                  </pic:blipFill>
                  <pic:spPr bwMode="auto">
                    <a:xfrm>
                      <a:off x="0" y="0"/>
                      <a:ext cx="1376401" cy="593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9559D" w14:textId="77777777" w:rsidR="00227D76" w:rsidRDefault="00227D76" w:rsidP="003B3C10">
      <w:pPr>
        <w:rPr>
          <w:b/>
          <w:bCs/>
          <w:color w:val="ED7D31" w:themeColor="accent2"/>
        </w:rPr>
      </w:pPr>
    </w:p>
    <w:p w14:paraId="1A0625B4" w14:textId="77777777" w:rsidR="00227D76" w:rsidRDefault="00227D76" w:rsidP="003B3C10">
      <w:pPr>
        <w:rPr>
          <w:b/>
          <w:bCs/>
          <w:color w:val="ED7D31" w:themeColor="accent2"/>
        </w:rPr>
      </w:pPr>
    </w:p>
    <w:p w14:paraId="78E130AC" w14:textId="4B40A80F" w:rsidR="00206B10" w:rsidRPr="00227D76" w:rsidRDefault="004435E4" w:rsidP="003B3C10">
      <w:pPr>
        <w:rPr>
          <w:color w:val="6ABE94"/>
          <w:sz w:val="32"/>
          <w:szCs w:val="32"/>
        </w:rPr>
      </w:pPr>
      <w:r w:rsidRPr="000248F6">
        <w:rPr>
          <w:noProof/>
          <w:color w:val="6ABE93"/>
          <w:sz w:val="21"/>
          <w:szCs w:val="32"/>
          <w:lang w:eastAsia="nl-NL"/>
        </w:rPr>
        <mc:AlternateContent>
          <mc:Choice Requires="wps">
            <w:drawing>
              <wp:anchor distT="0" distB="0" distL="114300" distR="114300" simplePos="0" relativeHeight="251658242" behindDoc="0" locked="0" layoutInCell="1" allowOverlap="1" wp14:anchorId="56AF710F" wp14:editId="179ECDC8">
                <wp:simplePos x="0" y="0"/>
                <wp:positionH relativeFrom="margin">
                  <wp:posOffset>-397510</wp:posOffset>
                </wp:positionH>
                <wp:positionV relativeFrom="page">
                  <wp:posOffset>3406140</wp:posOffset>
                </wp:positionV>
                <wp:extent cx="6743700" cy="5967095"/>
                <wp:effectExtent l="0" t="0" r="0" b="0"/>
                <wp:wrapNone/>
                <wp:docPr id="9" name="Tekstvak 9"/>
                <wp:cNvGraphicFramePr/>
                <a:graphic xmlns:a="http://schemas.openxmlformats.org/drawingml/2006/main">
                  <a:graphicData uri="http://schemas.microsoft.com/office/word/2010/wordprocessingShape">
                    <wps:wsp>
                      <wps:cNvSpPr txBox="1"/>
                      <wps:spPr>
                        <a:xfrm>
                          <a:off x="0" y="0"/>
                          <a:ext cx="6743700" cy="5967095"/>
                        </a:xfrm>
                        <a:prstGeom prst="rect">
                          <a:avLst/>
                        </a:prstGeom>
                        <a:noFill/>
                        <a:ln w="6350">
                          <a:noFill/>
                        </a:ln>
                      </wps:spPr>
                      <wps:txbx>
                        <w:txbxContent>
                          <w:p w14:paraId="1F8919EE" w14:textId="77777777" w:rsidR="00F2666C" w:rsidRDefault="00F2666C" w:rsidP="004435E4">
                            <w:pPr>
                              <w:tabs>
                                <w:tab w:val="left" w:pos="142"/>
                              </w:tabs>
                              <w:jc w:val="left"/>
                              <w:rPr>
                                <w:b/>
                                <w:color w:val="FFFFFF" w:themeColor="background1"/>
                                <w:sz w:val="56"/>
                                <w:szCs w:val="56"/>
                              </w:rPr>
                            </w:pPr>
                          </w:p>
                          <w:p w14:paraId="69B48D4F" w14:textId="3BA9A8AA" w:rsidR="00F2666C" w:rsidRPr="00EA3FA3" w:rsidRDefault="00F2666C" w:rsidP="004435E4">
                            <w:pPr>
                              <w:tabs>
                                <w:tab w:val="left" w:pos="142"/>
                              </w:tabs>
                              <w:jc w:val="left"/>
                              <w:rPr>
                                <w:b/>
                                <w:color w:val="FFFFFF" w:themeColor="background1"/>
                                <w:sz w:val="72"/>
                                <w:szCs w:val="72"/>
                              </w:rPr>
                            </w:pPr>
                            <w:r w:rsidRPr="00EA3FA3">
                              <w:rPr>
                                <w:b/>
                                <w:color w:val="FFFFFF" w:themeColor="background1"/>
                                <w:sz w:val="72"/>
                                <w:szCs w:val="72"/>
                              </w:rPr>
                              <w:t>CO</w:t>
                            </w:r>
                            <w:r w:rsidRPr="00EA3FA3">
                              <w:rPr>
                                <w:b/>
                                <w:color w:val="FFFFFF" w:themeColor="background1"/>
                                <w:sz w:val="72"/>
                                <w:szCs w:val="72"/>
                                <w:vertAlign w:val="subscript"/>
                              </w:rPr>
                              <w:t>2</w:t>
                            </w:r>
                            <w:r w:rsidRPr="00EA3FA3">
                              <w:rPr>
                                <w:b/>
                                <w:color w:val="FFFFFF" w:themeColor="background1"/>
                                <w:sz w:val="72"/>
                                <w:szCs w:val="72"/>
                              </w:rPr>
                              <w:t>-</w:t>
                            </w:r>
                            <w:r w:rsidRPr="00A2172B">
                              <w:rPr>
                                <w:b/>
                                <w:color w:val="FFFFFF" w:themeColor="background1"/>
                                <w:sz w:val="72"/>
                                <w:szCs w:val="72"/>
                              </w:rPr>
                              <w:t>Prestatieladder</w:t>
                            </w:r>
                            <w:r w:rsidR="00EE2E8E" w:rsidRPr="00A2172B">
                              <w:rPr>
                                <w:b/>
                                <w:color w:val="FFFFFF" w:themeColor="background1"/>
                                <w:sz w:val="72"/>
                                <w:szCs w:val="72"/>
                              </w:rPr>
                              <w:t xml:space="preserve"> </w:t>
                            </w:r>
                            <w:r w:rsidR="00EE2E8E" w:rsidRPr="00A2172B">
                              <w:rPr>
                                <w:b/>
                                <w:color w:val="FFFFFF" w:themeColor="background1"/>
                                <w:sz w:val="56"/>
                                <w:szCs w:val="56"/>
                              </w:rPr>
                              <w:t>N5</w:t>
                            </w:r>
                          </w:p>
                          <w:p w14:paraId="4E9E0556" w14:textId="4B1CBFBF" w:rsidR="004435E4" w:rsidRPr="00EA3FA3" w:rsidRDefault="001C3774" w:rsidP="004435E4">
                            <w:pPr>
                              <w:tabs>
                                <w:tab w:val="left" w:pos="142"/>
                              </w:tabs>
                              <w:jc w:val="left"/>
                              <w:rPr>
                                <w:b/>
                                <w:color w:val="FFFFFF" w:themeColor="background1"/>
                                <w:sz w:val="40"/>
                                <w:szCs w:val="40"/>
                              </w:rPr>
                            </w:pPr>
                            <w:r>
                              <w:rPr>
                                <w:b/>
                                <w:color w:val="FFFFFF" w:themeColor="background1"/>
                                <w:sz w:val="40"/>
                                <w:szCs w:val="40"/>
                              </w:rPr>
                              <w:t>Verslag</w:t>
                            </w:r>
                            <w:r w:rsidR="00EB6943" w:rsidRPr="00EA3FA3">
                              <w:rPr>
                                <w:b/>
                                <w:color w:val="FFFFFF" w:themeColor="background1"/>
                                <w:sz w:val="40"/>
                                <w:szCs w:val="40"/>
                              </w:rPr>
                              <w:t xml:space="preserve"> </w:t>
                            </w:r>
                            <w:r w:rsidR="00A2172B">
                              <w:rPr>
                                <w:b/>
                                <w:color w:val="FFFFFF" w:themeColor="background1"/>
                                <w:sz w:val="40"/>
                                <w:szCs w:val="40"/>
                              </w:rPr>
                              <w:t>f</w:t>
                            </w:r>
                            <w:r w:rsidR="002511A0">
                              <w:rPr>
                                <w:b/>
                                <w:color w:val="FFFFFF" w:themeColor="background1"/>
                                <w:sz w:val="40"/>
                                <w:szCs w:val="40"/>
                              </w:rPr>
                              <w:t xml:space="preserve">ootprint jaar </w:t>
                            </w:r>
                            <w:r w:rsidR="004435E4" w:rsidRPr="00EA3FA3">
                              <w:rPr>
                                <w:b/>
                                <w:color w:val="FFFFFF" w:themeColor="background1"/>
                                <w:sz w:val="40"/>
                                <w:szCs w:val="40"/>
                              </w:rPr>
                              <w:t>2</w:t>
                            </w:r>
                            <w:r w:rsidR="004435E4" w:rsidRPr="00A2172B">
                              <w:rPr>
                                <w:b/>
                                <w:color w:val="FFFFFF" w:themeColor="background1"/>
                                <w:sz w:val="40"/>
                                <w:szCs w:val="40"/>
                              </w:rPr>
                              <w:t>0</w:t>
                            </w:r>
                            <w:r w:rsidR="00A2172B" w:rsidRPr="00A2172B">
                              <w:rPr>
                                <w:b/>
                                <w:color w:val="FFFFFF" w:themeColor="background1"/>
                                <w:sz w:val="40"/>
                                <w:szCs w:val="40"/>
                              </w:rPr>
                              <w:t>2</w:t>
                            </w:r>
                            <w:r w:rsidR="00E87A8C">
                              <w:rPr>
                                <w:b/>
                                <w:color w:val="FFFFFF" w:themeColor="background1"/>
                                <w:sz w:val="40"/>
                                <w:szCs w:val="40"/>
                              </w:rPr>
                              <w:t>4</w:t>
                            </w:r>
                          </w:p>
                          <w:p w14:paraId="1F3F94D4" w14:textId="77777777" w:rsidR="004435E4" w:rsidRPr="00EA3FA3" w:rsidRDefault="004435E4" w:rsidP="004435E4">
                            <w:pPr>
                              <w:jc w:val="left"/>
                              <w:rPr>
                                <w:b/>
                                <w:color w:val="FFFFFF" w:themeColor="background1"/>
                              </w:rPr>
                            </w:pPr>
                          </w:p>
                          <w:p w14:paraId="653D41A9" w14:textId="77777777" w:rsidR="004435E4" w:rsidRPr="00EA3FA3" w:rsidRDefault="004435E4" w:rsidP="004435E4">
                            <w:pPr>
                              <w:jc w:val="left"/>
                              <w:rPr>
                                <w:b/>
                                <w:color w:val="FFFFFF" w:themeColor="background1"/>
                              </w:rPr>
                            </w:pPr>
                          </w:p>
                          <w:p w14:paraId="7A0CD685" w14:textId="77777777" w:rsidR="004435E4" w:rsidRPr="00EA3FA3" w:rsidRDefault="004435E4" w:rsidP="004435E4">
                            <w:pPr>
                              <w:jc w:val="left"/>
                              <w:rPr>
                                <w:b/>
                                <w:color w:val="FFFFFF" w:themeColor="background1"/>
                              </w:rPr>
                            </w:pPr>
                          </w:p>
                          <w:p w14:paraId="598E9C42" w14:textId="77777777" w:rsidR="004435E4" w:rsidRPr="00EA3FA3" w:rsidRDefault="004435E4" w:rsidP="004435E4">
                            <w:pPr>
                              <w:jc w:val="left"/>
                              <w:rPr>
                                <w:b/>
                                <w:color w:val="FFFFFF" w:themeColor="background1"/>
                              </w:rPr>
                            </w:pPr>
                          </w:p>
                          <w:p w14:paraId="4F0D7834" w14:textId="77777777" w:rsidR="004435E4" w:rsidRPr="00EA3FA3" w:rsidRDefault="004435E4" w:rsidP="004435E4">
                            <w:pPr>
                              <w:jc w:val="left"/>
                              <w:rPr>
                                <w:b/>
                                <w:color w:val="FFFFFF" w:themeColor="background1"/>
                              </w:rPr>
                            </w:pPr>
                          </w:p>
                          <w:p w14:paraId="52C92FC4" w14:textId="77777777" w:rsidR="004435E4" w:rsidRPr="00EA3FA3" w:rsidRDefault="004435E4" w:rsidP="004435E4">
                            <w:pPr>
                              <w:jc w:val="left"/>
                              <w:rPr>
                                <w:b/>
                                <w:color w:val="FFFFFF" w:themeColor="background1"/>
                              </w:rPr>
                            </w:pPr>
                          </w:p>
                          <w:p w14:paraId="0B3A59FB" w14:textId="77777777" w:rsidR="004435E4" w:rsidRPr="00EA3FA3" w:rsidRDefault="004435E4" w:rsidP="004435E4">
                            <w:pPr>
                              <w:jc w:val="left"/>
                              <w:rPr>
                                <w:b/>
                                <w:color w:val="FFFFFF" w:themeColor="background1"/>
                                <w:sz w:val="18"/>
                                <w:szCs w:val="22"/>
                              </w:rPr>
                            </w:pPr>
                          </w:p>
                          <w:p w14:paraId="589ABB9D" w14:textId="4561AAFD" w:rsidR="004435E4" w:rsidRPr="00056BF2" w:rsidRDefault="004435E4" w:rsidP="004435E4">
                            <w:pPr>
                              <w:jc w:val="left"/>
                              <w:rPr>
                                <w:b/>
                                <w:bCs/>
                                <w:color w:val="FFFFFF" w:themeColor="background1"/>
                                <w:sz w:val="22"/>
                                <w:szCs w:val="22"/>
                              </w:rPr>
                            </w:pPr>
                            <w:r w:rsidRPr="00056BF2">
                              <w:rPr>
                                <w:b/>
                                <w:color w:val="FFFFFF" w:themeColor="background1"/>
                                <w:sz w:val="22"/>
                                <w:szCs w:val="22"/>
                              </w:rPr>
                              <w:t>Organisatie:</w:t>
                            </w:r>
                            <w:r w:rsidRPr="00056BF2">
                              <w:rPr>
                                <w:color w:val="FFFFFF" w:themeColor="background1"/>
                                <w:sz w:val="22"/>
                                <w:szCs w:val="22"/>
                              </w:rPr>
                              <w:tab/>
                            </w:r>
                            <w:r w:rsidRPr="00056BF2">
                              <w:rPr>
                                <w:color w:val="FFFFFF" w:themeColor="background1"/>
                                <w:sz w:val="22"/>
                                <w:szCs w:val="22"/>
                              </w:rPr>
                              <w:tab/>
                            </w:r>
                            <w:r w:rsidR="00A2172B" w:rsidRPr="00056BF2">
                              <w:rPr>
                                <w:color w:val="FFFFFF" w:themeColor="background1"/>
                                <w:sz w:val="22"/>
                                <w:szCs w:val="22"/>
                              </w:rPr>
                              <w:t>CityTec</w:t>
                            </w:r>
                            <w:r w:rsidRPr="00056BF2">
                              <w:rPr>
                                <w:b/>
                                <w:bCs/>
                                <w:color w:val="FFFFFF" w:themeColor="background1"/>
                                <w:sz w:val="22"/>
                                <w:szCs w:val="22"/>
                              </w:rPr>
                              <w:t xml:space="preserve"> </w:t>
                            </w:r>
                          </w:p>
                          <w:p w14:paraId="431C502D" w14:textId="64F54C9A" w:rsidR="004435E4" w:rsidRPr="00056BF2" w:rsidRDefault="004435E4" w:rsidP="004435E4">
                            <w:pPr>
                              <w:jc w:val="left"/>
                              <w:rPr>
                                <w:bCs/>
                                <w:color w:val="FFFFFF" w:themeColor="background1"/>
                                <w:sz w:val="22"/>
                                <w:szCs w:val="22"/>
                              </w:rPr>
                            </w:pPr>
                            <w:r w:rsidRPr="00056BF2">
                              <w:rPr>
                                <w:b/>
                                <w:color w:val="FFFFFF" w:themeColor="background1"/>
                                <w:sz w:val="22"/>
                                <w:szCs w:val="22"/>
                              </w:rPr>
                              <w:t>Contactpersoon:</w:t>
                            </w:r>
                            <w:r w:rsidRPr="00056BF2">
                              <w:rPr>
                                <w:b/>
                                <w:color w:val="FFFFFF" w:themeColor="background1"/>
                                <w:sz w:val="22"/>
                                <w:szCs w:val="22"/>
                              </w:rPr>
                              <w:tab/>
                            </w:r>
                            <w:r w:rsidRPr="00056BF2">
                              <w:rPr>
                                <w:b/>
                                <w:color w:val="FFFFFF" w:themeColor="background1"/>
                                <w:sz w:val="22"/>
                                <w:szCs w:val="22"/>
                              </w:rPr>
                              <w:tab/>
                            </w:r>
                            <w:r w:rsidR="00832403">
                              <w:rPr>
                                <w:bCs/>
                                <w:color w:val="FFFFFF" w:themeColor="background1"/>
                                <w:sz w:val="22"/>
                                <w:szCs w:val="22"/>
                              </w:rPr>
                              <w:t>M. Rademakers</w:t>
                            </w:r>
                            <w:r w:rsidRPr="00056BF2">
                              <w:rPr>
                                <w:bCs/>
                                <w:color w:val="FFFFFF" w:themeColor="background1"/>
                                <w:sz w:val="22"/>
                                <w:szCs w:val="22"/>
                              </w:rPr>
                              <w:t xml:space="preserve"> </w:t>
                            </w:r>
                          </w:p>
                          <w:p w14:paraId="303C9588" w14:textId="77777777" w:rsidR="004435E4" w:rsidRPr="00056BF2" w:rsidRDefault="004435E4" w:rsidP="004435E4">
                            <w:pPr>
                              <w:jc w:val="left"/>
                              <w:rPr>
                                <w:color w:val="FFFFFF" w:themeColor="background1"/>
                                <w:sz w:val="22"/>
                                <w:szCs w:val="22"/>
                              </w:rPr>
                            </w:pPr>
                          </w:p>
                          <w:p w14:paraId="1F414B50" w14:textId="05DD7F8E" w:rsidR="004435E4" w:rsidRPr="00056BF2" w:rsidRDefault="004435E4" w:rsidP="004435E4">
                            <w:pPr>
                              <w:jc w:val="left"/>
                              <w:rPr>
                                <w:color w:val="FFFFFF" w:themeColor="background1"/>
                                <w:sz w:val="22"/>
                                <w:szCs w:val="22"/>
                              </w:rPr>
                            </w:pPr>
                            <w:r w:rsidRPr="00056BF2">
                              <w:rPr>
                                <w:b/>
                                <w:bCs/>
                                <w:color w:val="FFFFFF" w:themeColor="background1"/>
                                <w:sz w:val="22"/>
                                <w:szCs w:val="22"/>
                              </w:rPr>
                              <w:t>Adviseur:</w:t>
                            </w:r>
                            <w:r w:rsidRPr="00056BF2">
                              <w:rPr>
                                <w:color w:val="FFFFFF" w:themeColor="background1"/>
                                <w:sz w:val="22"/>
                                <w:szCs w:val="22"/>
                              </w:rPr>
                              <w:tab/>
                            </w:r>
                            <w:r w:rsidRPr="00056BF2">
                              <w:rPr>
                                <w:color w:val="FFFFFF" w:themeColor="background1"/>
                                <w:sz w:val="22"/>
                                <w:szCs w:val="22"/>
                              </w:rPr>
                              <w:tab/>
                            </w:r>
                            <w:r w:rsidRPr="00056BF2">
                              <w:rPr>
                                <w:color w:val="FFFFFF" w:themeColor="background1"/>
                                <w:sz w:val="22"/>
                                <w:szCs w:val="22"/>
                              </w:rPr>
                              <w:tab/>
                            </w:r>
                            <w:r w:rsidR="00E87A8C">
                              <w:rPr>
                                <w:color w:val="FFFFFF" w:themeColor="background1"/>
                                <w:sz w:val="22"/>
                                <w:szCs w:val="22"/>
                              </w:rPr>
                              <w:t>G</w:t>
                            </w:r>
                            <w:r w:rsidR="002D1134">
                              <w:rPr>
                                <w:color w:val="FFFFFF" w:themeColor="background1"/>
                                <w:sz w:val="22"/>
                                <w:szCs w:val="22"/>
                              </w:rPr>
                              <w:t>uus</w:t>
                            </w:r>
                            <w:r w:rsidR="00E87A8C">
                              <w:rPr>
                                <w:color w:val="FFFFFF" w:themeColor="background1"/>
                                <w:sz w:val="22"/>
                                <w:szCs w:val="22"/>
                              </w:rPr>
                              <w:t xml:space="preserve"> de Jong</w:t>
                            </w:r>
                          </w:p>
                          <w:p w14:paraId="26F30BCA" w14:textId="77777777" w:rsidR="004435E4" w:rsidRPr="00FC493B" w:rsidRDefault="004435E4" w:rsidP="004435E4">
                            <w:pPr>
                              <w:jc w:val="left"/>
                              <w:rPr>
                                <w:color w:val="FFFFFF" w:themeColor="background1"/>
                              </w:rPr>
                            </w:pPr>
                            <w:r w:rsidRPr="00194893">
                              <w:rPr>
                                <w:b/>
                                <w:bCs/>
                                <w:color w:val="FFFFFF" w:themeColor="background1"/>
                                <w:sz w:val="22"/>
                                <w:szCs w:val="22"/>
                              </w:rPr>
                              <w:t>Adviesbureau:</w:t>
                            </w:r>
                            <w:r w:rsidRPr="00FC493B">
                              <w:rPr>
                                <w:color w:val="FFFFFF" w:themeColor="background1"/>
                              </w:rPr>
                              <w:tab/>
                            </w:r>
                            <w:r w:rsidRPr="00FC493B">
                              <w:rPr>
                                <w:color w:val="FFFFFF" w:themeColor="background1"/>
                              </w:rPr>
                              <w:tab/>
                            </w:r>
                            <w:r w:rsidRPr="00194893">
                              <w:rPr>
                                <w:color w:val="FFFFFF" w:themeColor="background1"/>
                                <w:sz w:val="22"/>
                                <w:szCs w:val="28"/>
                              </w:rPr>
                              <w:t>De Duurzame Adviseurs</w:t>
                            </w:r>
                          </w:p>
                          <w:p w14:paraId="5518020C" w14:textId="77777777" w:rsidR="004435E4" w:rsidRDefault="004435E4" w:rsidP="004435E4">
                            <w:pPr>
                              <w:jc w:val="left"/>
                              <w:rPr>
                                <w:color w:val="FFFFFF" w:themeColor="background1"/>
                              </w:rPr>
                            </w:pPr>
                          </w:p>
                          <w:p w14:paraId="6C4704F3" w14:textId="77777777" w:rsidR="00C501D6" w:rsidRDefault="00C501D6" w:rsidP="004435E4">
                            <w:pPr>
                              <w:jc w:val="left"/>
                              <w:rPr>
                                <w:color w:val="FFFFFF" w:themeColor="background1"/>
                              </w:rPr>
                            </w:pPr>
                          </w:p>
                          <w:p w14:paraId="3C2C4CF8" w14:textId="77777777" w:rsidR="00C501D6" w:rsidRDefault="00C501D6" w:rsidP="004435E4">
                            <w:pPr>
                              <w:jc w:val="left"/>
                              <w:rPr>
                                <w:color w:val="FFFFFF" w:themeColor="background1"/>
                              </w:rPr>
                            </w:pPr>
                          </w:p>
                          <w:p w14:paraId="10BF9958" w14:textId="77777777" w:rsidR="00C501D6" w:rsidRPr="00FC493B" w:rsidRDefault="00C501D6" w:rsidP="004435E4">
                            <w:pPr>
                              <w:jc w:val="left"/>
                              <w:rPr>
                                <w:color w:val="FFFFFF" w:themeColor="background1"/>
                              </w:rPr>
                            </w:pPr>
                          </w:p>
                          <w:p w14:paraId="15137302" w14:textId="165724A2" w:rsidR="004435E4" w:rsidRPr="00C501D6" w:rsidRDefault="002511A0" w:rsidP="004435E4">
                            <w:pPr>
                              <w:jc w:val="left"/>
                              <w:rPr>
                                <w:color w:val="FFFFFF" w:themeColor="background1"/>
                                <w:sz w:val="22"/>
                                <w:szCs w:val="28"/>
                              </w:rPr>
                            </w:pPr>
                            <w:r>
                              <w:rPr>
                                <w:b/>
                                <w:bCs/>
                                <w:color w:val="FFFFFF" w:themeColor="background1"/>
                                <w:sz w:val="22"/>
                                <w:szCs w:val="28"/>
                              </w:rPr>
                              <w:t xml:space="preserve">Datum laatste bewerking: </w:t>
                            </w:r>
                            <w:r w:rsidRPr="00C501D6">
                              <w:rPr>
                                <w:color w:val="FFFFFF" w:themeColor="background1"/>
                                <w:sz w:val="22"/>
                                <w:szCs w:val="28"/>
                              </w:rPr>
                              <w:fldChar w:fldCharType="begin"/>
                            </w:r>
                            <w:r w:rsidRPr="00C501D6">
                              <w:rPr>
                                <w:color w:val="FFFFFF" w:themeColor="background1"/>
                                <w:sz w:val="22"/>
                                <w:szCs w:val="28"/>
                              </w:rPr>
                              <w:instrText xml:space="preserve"> TIME \@ "d-M-yyyy" </w:instrText>
                            </w:r>
                            <w:r w:rsidRPr="00C501D6">
                              <w:rPr>
                                <w:color w:val="FFFFFF" w:themeColor="background1"/>
                                <w:sz w:val="22"/>
                                <w:szCs w:val="28"/>
                              </w:rPr>
                              <w:fldChar w:fldCharType="separate"/>
                            </w:r>
                            <w:r w:rsidR="001C47AD">
                              <w:rPr>
                                <w:noProof/>
                                <w:color w:val="FFFFFF" w:themeColor="background1"/>
                                <w:sz w:val="22"/>
                                <w:szCs w:val="28"/>
                              </w:rPr>
                              <w:t>9-7-2025</w:t>
                            </w:r>
                            <w:r w:rsidRPr="00C501D6">
                              <w:rPr>
                                <w:color w:val="FFFFFF" w:themeColor="background1"/>
                                <w:sz w:val="22"/>
                                <w:szCs w:val="28"/>
                              </w:rPr>
                              <w:fldChar w:fldCharType="end"/>
                            </w:r>
                          </w:p>
                          <w:p w14:paraId="14278E7A" w14:textId="77777777" w:rsidR="004435E4" w:rsidRPr="00E87A8C" w:rsidRDefault="004435E4" w:rsidP="004435E4">
                            <w:pPr>
                              <w:rPr>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710F" id="_x0000_t202" coordsize="21600,21600" o:spt="202" path="m,l,21600r21600,l21600,xe">
                <v:stroke joinstyle="miter"/>
                <v:path gradientshapeok="t" o:connecttype="rect"/>
              </v:shapetype>
              <v:shape id="Tekstvak 9" o:spid="_x0000_s1026" type="#_x0000_t202" style="position:absolute;left:0;text-align:left;margin-left:-31.3pt;margin-top:268.2pt;width:531pt;height:469.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TUGAIAAC0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" filled="f" stroked="f" strokeweight=".5pt">
                <v:textbox>
                  <w:txbxContent>
                    <w:p w14:paraId="1F8919EE" w14:textId="77777777" w:rsidR="00F2666C" w:rsidRDefault="00F2666C" w:rsidP="004435E4">
                      <w:pPr>
                        <w:tabs>
                          <w:tab w:val="left" w:pos="142"/>
                        </w:tabs>
                        <w:jc w:val="left"/>
                        <w:rPr>
                          <w:b/>
                          <w:color w:val="FFFFFF" w:themeColor="background1"/>
                          <w:sz w:val="56"/>
                          <w:szCs w:val="56"/>
                        </w:rPr>
                      </w:pPr>
                    </w:p>
                    <w:p w14:paraId="69B48D4F" w14:textId="3BA9A8AA" w:rsidR="00F2666C" w:rsidRPr="00EA3FA3" w:rsidRDefault="00F2666C" w:rsidP="004435E4">
                      <w:pPr>
                        <w:tabs>
                          <w:tab w:val="left" w:pos="142"/>
                        </w:tabs>
                        <w:jc w:val="left"/>
                        <w:rPr>
                          <w:b/>
                          <w:color w:val="FFFFFF" w:themeColor="background1"/>
                          <w:sz w:val="72"/>
                          <w:szCs w:val="72"/>
                        </w:rPr>
                      </w:pPr>
                      <w:r w:rsidRPr="00EA3FA3">
                        <w:rPr>
                          <w:b/>
                          <w:color w:val="FFFFFF" w:themeColor="background1"/>
                          <w:sz w:val="72"/>
                          <w:szCs w:val="72"/>
                        </w:rPr>
                        <w:t>CO</w:t>
                      </w:r>
                      <w:r w:rsidRPr="00EA3FA3">
                        <w:rPr>
                          <w:b/>
                          <w:color w:val="FFFFFF" w:themeColor="background1"/>
                          <w:sz w:val="72"/>
                          <w:szCs w:val="72"/>
                          <w:vertAlign w:val="subscript"/>
                        </w:rPr>
                        <w:t>2</w:t>
                      </w:r>
                      <w:r w:rsidRPr="00EA3FA3">
                        <w:rPr>
                          <w:b/>
                          <w:color w:val="FFFFFF" w:themeColor="background1"/>
                          <w:sz w:val="72"/>
                          <w:szCs w:val="72"/>
                        </w:rPr>
                        <w:t>-</w:t>
                      </w:r>
                      <w:r w:rsidRPr="00A2172B">
                        <w:rPr>
                          <w:b/>
                          <w:color w:val="FFFFFF" w:themeColor="background1"/>
                          <w:sz w:val="72"/>
                          <w:szCs w:val="72"/>
                        </w:rPr>
                        <w:t>Prestatieladder</w:t>
                      </w:r>
                      <w:r w:rsidR="00EE2E8E" w:rsidRPr="00A2172B">
                        <w:rPr>
                          <w:b/>
                          <w:color w:val="FFFFFF" w:themeColor="background1"/>
                          <w:sz w:val="72"/>
                          <w:szCs w:val="72"/>
                        </w:rPr>
                        <w:t xml:space="preserve"> </w:t>
                      </w:r>
                      <w:r w:rsidR="00EE2E8E" w:rsidRPr="00A2172B">
                        <w:rPr>
                          <w:b/>
                          <w:color w:val="FFFFFF" w:themeColor="background1"/>
                          <w:sz w:val="56"/>
                          <w:szCs w:val="56"/>
                        </w:rPr>
                        <w:t>N5</w:t>
                      </w:r>
                    </w:p>
                    <w:p w14:paraId="4E9E0556" w14:textId="4B1CBFBF" w:rsidR="004435E4" w:rsidRPr="00EA3FA3" w:rsidRDefault="001C3774" w:rsidP="004435E4">
                      <w:pPr>
                        <w:tabs>
                          <w:tab w:val="left" w:pos="142"/>
                        </w:tabs>
                        <w:jc w:val="left"/>
                        <w:rPr>
                          <w:b/>
                          <w:color w:val="FFFFFF" w:themeColor="background1"/>
                          <w:sz w:val="40"/>
                          <w:szCs w:val="40"/>
                        </w:rPr>
                      </w:pPr>
                      <w:r>
                        <w:rPr>
                          <w:b/>
                          <w:color w:val="FFFFFF" w:themeColor="background1"/>
                          <w:sz w:val="40"/>
                          <w:szCs w:val="40"/>
                        </w:rPr>
                        <w:t>Verslag</w:t>
                      </w:r>
                      <w:r w:rsidR="00EB6943" w:rsidRPr="00EA3FA3">
                        <w:rPr>
                          <w:b/>
                          <w:color w:val="FFFFFF" w:themeColor="background1"/>
                          <w:sz w:val="40"/>
                          <w:szCs w:val="40"/>
                        </w:rPr>
                        <w:t xml:space="preserve"> </w:t>
                      </w:r>
                      <w:r w:rsidR="00A2172B">
                        <w:rPr>
                          <w:b/>
                          <w:color w:val="FFFFFF" w:themeColor="background1"/>
                          <w:sz w:val="40"/>
                          <w:szCs w:val="40"/>
                        </w:rPr>
                        <w:t>f</w:t>
                      </w:r>
                      <w:r w:rsidR="002511A0">
                        <w:rPr>
                          <w:b/>
                          <w:color w:val="FFFFFF" w:themeColor="background1"/>
                          <w:sz w:val="40"/>
                          <w:szCs w:val="40"/>
                        </w:rPr>
                        <w:t xml:space="preserve">ootprint jaar </w:t>
                      </w:r>
                      <w:r w:rsidR="004435E4" w:rsidRPr="00EA3FA3">
                        <w:rPr>
                          <w:b/>
                          <w:color w:val="FFFFFF" w:themeColor="background1"/>
                          <w:sz w:val="40"/>
                          <w:szCs w:val="40"/>
                        </w:rPr>
                        <w:t>2</w:t>
                      </w:r>
                      <w:r w:rsidR="004435E4" w:rsidRPr="00A2172B">
                        <w:rPr>
                          <w:b/>
                          <w:color w:val="FFFFFF" w:themeColor="background1"/>
                          <w:sz w:val="40"/>
                          <w:szCs w:val="40"/>
                        </w:rPr>
                        <w:t>0</w:t>
                      </w:r>
                      <w:r w:rsidR="00A2172B" w:rsidRPr="00A2172B">
                        <w:rPr>
                          <w:b/>
                          <w:color w:val="FFFFFF" w:themeColor="background1"/>
                          <w:sz w:val="40"/>
                          <w:szCs w:val="40"/>
                        </w:rPr>
                        <w:t>2</w:t>
                      </w:r>
                      <w:r w:rsidR="00E87A8C">
                        <w:rPr>
                          <w:b/>
                          <w:color w:val="FFFFFF" w:themeColor="background1"/>
                          <w:sz w:val="40"/>
                          <w:szCs w:val="40"/>
                        </w:rPr>
                        <w:t>4</w:t>
                      </w:r>
                    </w:p>
                    <w:p w14:paraId="1F3F94D4" w14:textId="77777777" w:rsidR="004435E4" w:rsidRPr="00EA3FA3" w:rsidRDefault="004435E4" w:rsidP="004435E4">
                      <w:pPr>
                        <w:jc w:val="left"/>
                        <w:rPr>
                          <w:b/>
                          <w:color w:val="FFFFFF" w:themeColor="background1"/>
                        </w:rPr>
                      </w:pPr>
                    </w:p>
                    <w:p w14:paraId="653D41A9" w14:textId="77777777" w:rsidR="004435E4" w:rsidRPr="00EA3FA3" w:rsidRDefault="004435E4" w:rsidP="004435E4">
                      <w:pPr>
                        <w:jc w:val="left"/>
                        <w:rPr>
                          <w:b/>
                          <w:color w:val="FFFFFF" w:themeColor="background1"/>
                        </w:rPr>
                      </w:pPr>
                    </w:p>
                    <w:p w14:paraId="7A0CD685" w14:textId="77777777" w:rsidR="004435E4" w:rsidRPr="00EA3FA3" w:rsidRDefault="004435E4" w:rsidP="004435E4">
                      <w:pPr>
                        <w:jc w:val="left"/>
                        <w:rPr>
                          <w:b/>
                          <w:color w:val="FFFFFF" w:themeColor="background1"/>
                        </w:rPr>
                      </w:pPr>
                    </w:p>
                    <w:p w14:paraId="598E9C42" w14:textId="77777777" w:rsidR="004435E4" w:rsidRPr="00EA3FA3" w:rsidRDefault="004435E4" w:rsidP="004435E4">
                      <w:pPr>
                        <w:jc w:val="left"/>
                        <w:rPr>
                          <w:b/>
                          <w:color w:val="FFFFFF" w:themeColor="background1"/>
                        </w:rPr>
                      </w:pPr>
                    </w:p>
                    <w:p w14:paraId="4F0D7834" w14:textId="77777777" w:rsidR="004435E4" w:rsidRPr="00EA3FA3" w:rsidRDefault="004435E4" w:rsidP="004435E4">
                      <w:pPr>
                        <w:jc w:val="left"/>
                        <w:rPr>
                          <w:b/>
                          <w:color w:val="FFFFFF" w:themeColor="background1"/>
                        </w:rPr>
                      </w:pPr>
                    </w:p>
                    <w:p w14:paraId="52C92FC4" w14:textId="77777777" w:rsidR="004435E4" w:rsidRPr="00EA3FA3" w:rsidRDefault="004435E4" w:rsidP="004435E4">
                      <w:pPr>
                        <w:jc w:val="left"/>
                        <w:rPr>
                          <w:b/>
                          <w:color w:val="FFFFFF" w:themeColor="background1"/>
                        </w:rPr>
                      </w:pPr>
                    </w:p>
                    <w:p w14:paraId="0B3A59FB" w14:textId="77777777" w:rsidR="004435E4" w:rsidRPr="00EA3FA3" w:rsidRDefault="004435E4" w:rsidP="004435E4">
                      <w:pPr>
                        <w:jc w:val="left"/>
                        <w:rPr>
                          <w:b/>
                          <w:color w:val="FFFFFF" w:themeColor="background1"/>
                          <w:sz w:val="18"/>
                          <w:szCs w:val="22"/>
                        </w:rPr>
                      </w:pPr>
                    </w:p>
                    <w:p w14:paraId="589ABB9D" w14:textId="4561AAFD" w:rsidR="004435E4" w:rsidRPr="00056BF2" w:rsidRDefault="004435E4" w:rsidP="004435E4">
                      <w:pPr>
                        <w:jc w:val="left"/>
                        <w:rPr>
                          <w:b/>
                          <w:bCs/>
                          <w:color w:val="FFFFFF" w:themeColor="background1"/>
                          <w:sz w:val="22"/>
                          <w:szCs w:val="22"/>
                        </w:rPr>
                      </w:pPr>
                      <w:r w:rsidRPr="00056BF2">
                        <w:rPr>
                          <w:b/>
                          <w:color w:val="FFFFFF" w:themeColor="background1"/>
                          <w:sz w:val="22"/>
                          <w:szCs w:val="22"/>
                        </w:rPr>
                        <w:t>Organisatie:</w:t>
                      </w:r>
                      <w:r w:rsidRPr="00056BF2">
                        <w:rPr>
                          <w:color w:val="FFFFFF" w:themeColor="background1"/>
                          <w:sz w:val="22"/>
                          <w:szCs w:val="22"/>
                        </w:rPr>
                        <w:tab/>
                      </w:r>
                      <w:r w:rsidRPr="00056BF2">
                        <w:rPr>
                          <w:color w:val="FFFFFF" w:themeColor="background1"/>
                          <w:sz w:val="22"/>
                          <w:szCs w:val="22"/>
                        </w:rPr>
                        <w:tab/>
                      </w:r>
                      <w:r w:rsidR="00A2172B" w:rsidRPr="00056BF2">
                        <w:rPr>
                          <w:color w:val="FFFFFF" w:themeColor="background1"/>
                          <w:sz w:val="22"/>
                          <w:szCs w:val="22"/>
                        </w:rPr>
                        <w:t>CityTec</w:t>
                      </w:r>
                      <w:r w:rsidRPr="00056BF2">
                        <w:rPr>
                          <w:b/>
                          <w:bCs/>
                          <w:color w:val="FFFFFF" w:themeColor="background1"/>
                          <w:sz w:val="22"/>
                          <w:szCs w:val="22"/>
                        </w:rPr>
                        <w:t xml:space="preserve"> </w:t>
                      </w:r>
                    </w:p>
                    <w:p w14:paraId="431C502D" w14:textId="64F54C9A" w:rsidR="004435E4" w:rsidRPr="00056BF2" w:rsidRDefault="004435E4" w:rsidP="004435E4">
                      <w:pPr>
                        <w:jc w:val="left"/>
                        <w:rPr>
                          <w:bCs/>
                          <w:color w:val="FFFFFF" w:themeColor="background1"/>
                          <w:sz w:val="22"/>
                          <w:szCs w:val="22"/>
                        </w:rPr>
                      </w:pPr>
                      <w:r w:rsidRPr="00056BF2">
                        <w:rPr>
                          <w:b/>
                          <w:color w:val="FFFFFF" w:themeColor="background1"/>
                          <w:sz w:val="22"/>
                          <w:szCs w:val="22"/>
                        </w:rPr>
                        <w:t>Contactpersoon:</w:t>
                      </w:r>
                      <w:r w:rsidRPr="00056BF2">
                        <w:rPr>
                          <w:b/>
                          <w:color w:val="FFFFFF" w:themeColor="background1"/>
                          <w:sz w:val="22"/>
                          <w:szCs w:val="22"/>
                        </w:rPr>
                        <w:tab/>
                      </w:r>
                      <w:r w:rsidRPr="00056BF2">
                        <w:rPr>
                          <w:b/>
                          <w:color w:val="FFFFFF" w:themeColor="background1"/>
                          <w:sz w:val="22"/>
                          <w:szCs w:val="22"/>
                        </w:rPr>
                        <w:tab/>
                      </w:r>
                      <w:r w:rsidR="00832403">
                        <w:rPr>
                          <w:bCs/>
                          <w:color w:val="FFFFFF" w:themeColor="background1"/>
                          <w:sz w:val="22"/>
                          <w:szCs w:val="22"/>
                        </w:rPr>
                        <w:t>M. Rademakers</w:t>
                      </w:r>
                      <w:r w:rsidRPr="00056BF2">
                        <w:rPr>
                          <w:bCs/>
                          <w:color w:val="FFFFFF" w:themeColor="background1"/>
                          <w:sz w:val="22"/>
                          <w:szCs w:val="22"/>
                        </w:rPr>
                        <w:t xml:space="preserve"> </w:t>
                      </w:r>
                    </w:p>
                    <w:p w14:paraId="303C9588" w14:textId="77777777" w:rsidR="004435E4" w:rsidRPr="00056BF2" w:rsidRDefault="004435E4" w:rsidP="004435E4">
                      <w:pPr>
                        <w:jc w:val="left"/>
                        <w:rPr>
                          <w:color w:val="FFFFFF" w:themeColor="background1"/>
                          <w:sz w:val="22"/>
                          <w:szCs w:val="22"/>
                        </w:rPr>
                      </w:pPr>
                    </w:p>
                    <w:p w14:paraId="1F414B50" w14:textId="05DD7F8E" w:rsidR="004435E4" w:rsidRPr="00056BF2" w:rsidRDefault="004435E4" w:rsidP="004435E4">
                      <w:pPr>
                        <w:jc w:val="left"/>
                        <w:rPr>
                          <w:color w:val="FFFFFF" w:themeColor="background1"/>
                          <w:sz w:val="22"/>
                          <w:szCs w:val="22"/>
                        </w:rPr>
                      </w:pPr>
                      <w:r w:rsidRPr="00056BF2">
                        <w:rPr>
                          <w:b/>
                          <w:bCs/>
                          <w:color w:val="FFFFFF" w:themeColor="background1"/>
                          <w:sz w:val="22"/>
                          <w:szCs w:val="22"/>
                        </w:rPr>
                        <w:t>Adviseur:</w:t>
                      </w:r>
                      <w:r w:rsidRPr="00056BF2">
                        <w:rPr>
                          <w:color w:val="FFFFFF" w:themeColor="background1"/>
                          <w:sz w:val="22"/>
                          <w:szCs w:val="22"/>
                        </w:rPr>
                        <w:tab/>
                      </w:r>
                      <w:r w:rsidRPr="00056BF2">
                        <w:rPr>
                          <w:color w:val="FFFFFF" w:themeColor="background1"/>
                          <w:sz w:val="22"/>
                          <w:szCs w:val="22"/>
                        </w:rPr>
                        <w:tab/>
                      </w:r>
                      <w:r w:rsidRPr="00056BF2">
                        <w:rPr>
                          <w:color w:val="FFFFFF" w:themeColor="background1"/>
                          <w:sz w:val="22"/>
                          <w:szCs w:val="22"/>
                        </w:rPr>
                        <w:tab/>
                      </w:r>
                      <w:r w:rsidR="00E87A8C">
                        <w:rPr>
                          <w:color w:val="FFFFFF" w:themeColor="background1"/>
                          <w:sz w:val="22"/>
                          <w:szCs w:val="22"/>
                        </w:rPr>
                        <w:t>G</w:t>
                      </w:r>
                      <w:r w:rsidR="002D1134">
                        <w:rPr>
                          <w:color w:val="FFFFFF" w:themeColor="background1"/>
                          <w:sz w:val="22"/>
                          <w:szCs w:val="22"/>
                        </w:rPr>
                        <w:t>uus</w:t>
                      </w:r>
                      <w:r w:rsidR="00E87A8C">
                        <w:rPr>
                          <w:color w:val="FFFFFF" w:themeColor="background1"/>
                          <w:sz w:val="22"/>
                          <w:szCs w:val="22"/>
                        </w:rPr>
                        <w:t xml:space="preserve"> de Jong</w:t>
                      </w:r>
                    </w:p>
                    <w:p w14:paraId="26F30BCA" w14:textId="77777777" w:rsidR="004435E4" w:rsidRPr="00FC493B" w:rsidRDefault="004435E4" w:rsidP="004435E4">
                      <w:pPr>
                        <w:jc w:val="left"/>
                        <w:rPr>
                          <w:color w:val="FFFFFF" w:themeColor="background1"/>
                        </w:rPr>
                      </w:pPr>
                      <w:r w:rsidRPr="00194893">
                        <w:rPr>
                          <w:b/>
                          <w:bCs/>
                          <w:color w:val="FFFFFF" w:themeColor="background1"/>
                          <w:sz w:val="22"/>
                          <w:szCs w:val="22"/>
                        </w:rPr>
                        <w:t>Adviesbureau:</w:t>
                      </w:r>
                      <w:r w:rsidRPr="00FC493B">
                        <w:rPr>
                          <w:color w:val="FFFFFF" w:themeColor="background1"/>
                        </w:rPr>
                        <w:tab/>
                      </w:r>
                      <w:r w:rsidRPr="00FC493B">
                        <w:rPr>
                          <w:color w:val="FFFFFF" w:themeColor="background1"/>
                        </w:rPr>
                        <w:tab/>
                      </w:r>
                      <w:r w:rsidRPr="00194893">
                        <w:rPr>
                          <w:color w:val="FFFFFF" w:themeColor="background1"/>
                          <w:sz w:val="22"/>
                          <w:szCs w:val="28"/>
                        </w:rPr>
                        <w:t>De Duurzame Adviseurs</w:t>
                      </w:r>
                    </w:p>
                    <w:p w14:paraId="5518020C" w14:textId="77777777" w:rsidR="004435E4" w:rsidRDefault="004435E4" w:rsidP="004435E4">
                      <w:pPr>
                        <w:jc w:val="left"/>
                        <w:rPr>
                          <w:color w:val="FFFFFF" w:themeColor="background1"/>
                        </w:rPr>
                      </w:pPr>
                    </w:p>
                    <w:p w14:paraId="6C4704F3" w14:textId="77777777" w:rsidR="00C501D6" w:rsidRDefault="00C501D6" w:rsidP="004435E4">
                      <w:pPr>
                        <w:jc w:val="left"/>
                        <w:rPr>
                          <w:color w:val="FFFFFF" w:themeColor="background1"/>
                        </w:rPr>
                      </w:pPr>
                    </w:p>
                    <w:p w14:paraId="3C2C4CF8" w14:textId="77777777" w:rsidR="00C501D6" w:rsidRDefault="00C501D6" w:rsidP="004435E4">
                      <w:pPr>
                        <w:jc w:val="left"/>
                        <w:rPr>
                          <w:color w:val="FFFFFF" w:themeColor="background1"/>
                        </w:rPr>
                      </w:pPr>
                    </w:p>
                    <w:p w14:paraId="10BF9958" w14:textId="77777777" w:rsidR="00C501D6" w:rsidRPr="00FC493B" w:rsidRDefault="00C501D6" w:rsidP="004435E4">
                      <w:pPr>
                        <w:jc w:val="left"/>
                        <w:rPr>
                          <w:color w:val="FFFFFF" w:themeColor="background1"/>
                        </w:rPr>
                      </w:pPr>
                    </w:p>
                    <w:p w14:paraId="15137302" w14:textId="165724A2" w:rsidR="004435E4" w:rsidRPr="00C501D6" w:rsidRDefault="002511A0" w:rsidP="004435E4">
                      <w:pPr>
                        <w:jc w:val="left"/>
                        <w:rPr>
                          <w:color w:val="FFFFFF" w:themeColor="background1"/>
                          <w:sz w:val="22"/>
                          <w:szCs w:val="28"/>
                        </w:rPr>
                      </w:pPr>
                      <w:r>
                        <w:rPr>
                          <w:b/>
                          <w:bCs/>
                          <w:color w:val="FFFFFF" w:themeColor="background1"/>
                          <w:sz w:val="22"/>
                          <w:szCs w:val="28"/>
                        </w:rPr>
                        <w:t xml:space="preserve">Datum laatste bewerking: </w:t>
                      </w:r>
                      <w:r w:rsidRPr="00C501D6">
                        <w:rPr>
                          <w:color w:val="FFFFFF" w:themeColor="background1"/>
                          <w:sz w:val="22"/>
                          <w:szCs w:val="28"/>
                        </w:rPr>
                        <w:fldChar w:fldCharType="begin"/>
                      </w:r>
                      <w:r w:rsidRPr="00C501D6">
                        <w:rPr>
                          <w:color w:val="FFFFFF" w:themeColor="background1"/>
                          <w:sz w:val="22"/>
                          <w:szCs w:val="28"/>
                        </w:rPr>
                        <w:instrText xml:space="preserve"> TIME \@ "d-M-yyyy" </w:instrText>
                      </w:r>
                      <w:r w:rsidRPr="00C501D6">
                        <w:rPr>
                          <w:color w:val="FFFFFF" w:themeColor="background1"/>
                          <w:sz w:val="22"/>
                          <w:szCs w:val="28"/>
                        </w:rPr>
                        <w:fldChar w:fldCharType="separate"/>
                      </w:r>
                      <w:r w:rsidR="001C47AD">
                        <w:rPr>
                          <w:noProof/>
                          <w:color w:val="FFFFFF" w:themeColor="background1"/>
                          <w:sz w:val="22"/>
                          <w:szCs w:val="28"/>
                        </w:rPr>
                        <w:t>9-7-2025</w:t>
                      </w:r>
                      <w:r w:rsidRPr="00C501D6">
                        <w:rPr>
                          <w:color w:val="FFFFFF" w:themeColor="background1"/>
                          <w:sz w:val="22"/>
                          <w:szCs w:val="28"/>
                        </w:rPr>
                        <w:fldChar w:fldCharType="end"/>
                      </w:r>
                    </w:p>
                    <w:p w14:paraId="14278E7A" w14:textId="77777777" w:rsidR="004435E4" w:rsidRPr="00E87A8C" w:rsidRDefault="004435E4" w:rsidP="004435E4">
                      <w:pPr>
                        <w:rPr>
                          <w:color w:val="FFFFFF" w:themeColor="background1"/>
                        </w:rPr>
                      </w:pPr>
                    </w:p>
                  </w:txbxContent>
                </v:textbox>
                <w10:wrap anchorx="margin" anchory="page"/>
              </v:shape>
            </w:pict>
          </mc:Fallback>
        </mc:AlternateContent>
      </w:r>
      <w:r w:rsidR="00252A96" w:rsidRPr="000248F6">
        <w:rPr>
          <w:rStyle w:val="Subtielebenadrukking"/>
          <w:rFonts w:ascii="Verdana" w:hAnsi="Verdana"/>
          <w:iCs w:val="0"/>
          <w:noProof/>
          <w:color w:val="auto"/>
          <w:sz w:val="40"/>
          <w:szCs w:val="48"/>
        </w:rPr>
        <w:drawing>
          <wp:anchor distT="0" distB="0" distL="114300" distR="114300" simplePos="0" relativeHeight="251658241" behindDoc="0" locked="0" layoutInCell="1" allowOverlap="1" wp14:anchorId="13232ECC" wp14:editId="47C7106A">
            <wp:simplePos x="0" y="0"/>
            <wp:positionH relativeFrom="column">
              <wp:posOffset>2943437</wp:posOffset>
            </wp:positionH>
            <wp:positionV relativeFrom="page">
              <wp:posOffset>9524365</wp:posOffset>
            </wp:positionV>
            <wp:extent cx="3557905" cy="101917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7905" cy="1019175"/>
                    </a:xfrm>
                    <a:prstGeom prst="rect">
                      <a:avLst/>
                    </a:prstGeom>
                  </pic:spPr>
                </pic:pic>
              </a:graphicData>
            </a:graphic>
            <wp14:sizeRelH relativeFrom="margin">
              <wp14:pctWidth>0</wp14:pctWidth>
            </wp14:sizeRelH>
            <wp14:sizeRelV relativeFrom="margin">
              <wp14:pctHeight>0</wp14:pctHeight>
            </wp14:sizeRelV>
          </wp:anchor>
        </w:drawing>
      </w:r>
      <w:r w:rsidR="005F2FA4" w:rsidRPr="000248F6">
        <w:rPr>
          <w:rStyle w:val="Subtielebenadrukking"/>
          <w:rFonts w:ascii="Verdana" w:hAnsi="Verdana"/>
          <w:b/>
          <w:bCs/>
          <w:iCs w:val="0"/>
          <w:noProof/>
          <w:color w:val="auto"/>
          <w:sz w:val="40"/>
          <w:szCs w:val="48"/>
        </w:rPr>
        <mc:AlternateContent>
          <mc:Choice Requires="wps">
            <w:drawing>
              <wp:anchor distT="0" distB="0" distL="114300" distR="114300" simplePos="0" relativeHeight="251658240" behindDoc="1" locked="0" layoutInCell="1" allowOverlap="1" wp14:anchorId="2B1E6DE7" wp14:editId="5D40B295">
                <wp:simplePos x="0" y="0"/>
                <wp:positionH relativeFrom="page">
                  <wp:posOffset>0</wp:posOffset>
                </wp:positionH>
                <wp:positionV relativeFrom="page">
                  <wp:posOffset>1627928</wp:posOffset>
                </wp:positionV>
                <wp:extent cx="7600950" cy="9063355"/>
                <wp:effectExtent l="0" t="0" r="19050" b="17145"/>
                <wp:wrapThrough wrapText="bothSides">
                  <wp:wrapPolygon edited="0">
                    <wp:start x="0" y="0"/>
                    <wp:lineTo x="0" y="21611"/>
                    <wp:lineTo x="21618" y="21611"/>
                    <wp:lineTo x="21618" y="0"/>
                    <wp:lineTo x="0" y="0"/>
                  </wp:wrapPolygon>
                </wp:wrapThrough>
                <wp:docPr id="17" name="Rechthoek 17"/>
                <wp:cNvGraphicFramePr/>
                <a:graphic xmlns:a="http://schemas.openxmlformats.org/drawingml/2006/main">
                  <a:graphicData uri="http://schemas.microsoft.com/office/word/2010/wordprocessingShape">
                    <wps:wsp>
                      <wps:cNvSpPr/>
                      <wps:spPr>
                        <a:xfrm>
                          <a:off x="0" y="0"/>
                          <a:ext cx="7600950" cy="9063355"/>
                        </a:xfrm>
                        <a:prstGeom prst="rect">
                          <a:avLst/>
                        </a:prstGeom>
                        <a:solidFill>
                          <a:srgbClr val="6ABD92"/>
                        </a:solidFill>
                        <a:ln>
                          <a:solidFill>
                            <a:srgbClr val="6ABD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w:pict w14:anchorId="02734911">
              <v:rect id="Rechthoek 17" style="position:absolute;margin-left:0;margin-top:128.2pt;width:598.5pt;height:7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6abd92" strokecolor="#6abd92" strokeweight="1pt" w14:anchorId="1BAB7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">
                <w10:wrap type="through" anchorx="page" anchory="page"/>
              </v:rect>
            </w:pict>
          </mc:Fallback>
        </mc:AlternateContent>
      </w:r>
      <w:r w:rsidR="00206B10" w:rsidRPr="003B3C10">
        <w:rPr>
          <w:b/>
          <w:bCs/>
        </w:rPr>
        <w:br w:type="page"/>
      </w:r>
    </w:p>
    <w:p w14:paraId="3F1EFFAA" w14:textId="77777777" w:rsidR="002B1AE1" w:rsidRPr="00BA3E48" w:rsidRDefault="002B1AE1" w:rsidP="002B1AE1">
      <w:pPr>
        <w:pStyle w:val="Kop1"/>
      </w:pPr>
      <w:bookmarkStart w:id="0" w:name="_Toc118736202"/>
      <w:bookmarkStart w:id="1" w:name="_Toc142472091"/>
      <w:bookmarkStart w:id="2" w:name="_Toc109901669"/>
      <w:r w:rsidRPr="00BA3E48">
        <w:lastRenderedPageBreak/>
        <w:t>Inleiding van de CO</w:t>
      </w:r>
      <w:r w:rsidRPr="00BA3E48">
        <w:rPr>
          <w:vertAlign w:val="subscript"/>
        </w:rPr>
        <w:t>2</w:t>
      </w:r>
      <w:r w:rsidRPr="00BA3E48">
        <w:t>-Prestatieladder</w:t>
      </w:r>
      <w:bookmarkEnd w:id="0"/>
      <w:bookmarkEnd w:id="1"/>
    </w:p>
    <w:p w14:paraId="2342F540" w14:textId="77777777" w:rsidR="002B1AE1" w:rsidRPr="00BA3E48" w:rsidRDefault="002B1AE1" w:rsidP="002B1AE1"/>
    <w:p w14:paraId="5AC75F95" w14:textId="77777777" w:rsidR="002B1AE1" w:rsidRPr="00BA3E48" w:rsidRDefault="002B1AE1" w:rsidP="002B1AE1">
      <w:r w:rsidRPr="00BA3E48">
        <w:t>De CO</w:t>
      </w:r>
      <w:r w:rsidRPr="00BA3E48">
        <w:rPr>
          <w:vertAlign w:val="subscript"/>
        </w:rPr>
        <w:t>2</w:t>
      </w:r>
      <w:r w:rsidRPr="00BA3E48">
        <w:t>-Prestatieladder is een managementsysteem dat zich richt op CO</w:t>
      </w:r>
      <w:r w:rsidRPr="00BA3E48">
        <w:rPr>
          <w:vertAlign w:val="subscript"/>
        </w:rPr>
        <w:t>2</w:t>
      </w:r>
      <w:r w:rsidRPr="00BA3E48">
        <w:t>-reductie, energiebesparing en het gebruik van duurzame energie binnen de bedrijfsvoering en in projecten en in de keten. Het systeem vereist continue verbetering van inzicht, verdere CO</w:t>
      </w:r>
      <w:r w:rsidRPr="00BA3E48">
        <w:rPr>
          <w:vertAlign w:val="subscript"/>
        </w:rPr>
        <w:t>2</w:t>
      </w:r>
      <w:r w:rsidRPr="00BA3E48">
        <w:t>-reductiemaatregelen, communicatie en samenwerking in de bedrijfsvoering. Het helpt organisaties met het structuren van interne bedrijfsprocessen rondom verduurzaming en het opzetten van duurzaamheidsverslaggeving met een focus op CO</w:t>
      </w:r>
      <w:r w:rsidRPr="00BA3E48">
        <w:rPr>
          <w:vertAlign w:val="subscript"/>
        </w:rPr>
        <w:t>2</w:t>
      </w:r>
      <w:r w:rsidRPr="00BA3E48">
        <w:t>. Naast het maatschappelijke belang van duurzaamheid biedt het ook kansen voor het inspireren van interne en externe belanghebbenden, onderscheiding ten opzichte van concurrenten, kostenbesparing en het voldoen aan wetgeving. Daarnaast kan het certificeren op de CO</w:t>
      </w:r>
      <w:r w:rsidRPr="00BA3E48">
        <w:rPr>
          <w:vertAlign w:val="subscript"/>
        </w:rPr>
        <w:t>2</w:t>
      </w:r>
      <w:r w:rsidRPr="00BA3E48">
        <w:t>-Prestatieladder voordeel opleveren in aanbestedingen van (publieke) opdrachtgevers. Hoe meer een organisatie zich inspant om CO</w:t>
      </w:r>
      <w:r w:rsidRPr="00BA3E48">
        <w:rPr>
          <w:vertAlign w:val="subscript"/>
        </w:rPr>
        <w:t>2</w:t>
      </w:r>
      <w:r w:rsidRPr="00BA3E48">
        <w:t xml:space="preserve"> te reduceren, hoe meer kans op gunning bij een opdracht. </w:t>
      </w:r>
    </w:p>
    <w:p w14:paraId="2DAAADF9" w14:textId="77777777" w:rsidR="002B1AE1" w:rsidRPr="00BA3E48" w:rsidRDefault="002B1AE1" w:rsidP="002B1AE1"/>
    <w:p w14:paraId="07E0F0F1" w14:textId="77777777" w:rsidR="002B1AE1" w:rsidRPr="00BA3E48" w:rsidRDefault="002B1AE1" w:rsidP="002B1AE1">
      <w:r w:rsidRPr="00BA3E48">
        <w:t>De CO</w:t>
      </w:r>
      <w:r w:rsidRPr="00BA3E48">
        <w:rPr>
          <w:vertAlign w:val="subscript"/>
        </w:rPr>
        <w:t>2</w:t>
      </w:r>
      <w:r w:rsidRPr="00BA3E48">
        <w:t>-Prestatieladder kent vijf niveaus, waarbij niveau één, twee en drie zich richten op de eigen organisatie en niveau vier en vijf een stap maken naar de keten van de organisatie. Om de ladder te beklimmen naar een volgend niveau moet aan alle verplichte normeisen van onderliggende niveaus worden voldaan. Ieder niveau omvat de volgende vier invalshoeken:</w:t>
      </w:r>
    </w:p>
    <w:p w14:paraId="5B880BF7" w14:textId="77777777" w:rsidR="002B1AE1" w:rsidRPr="00BA3E48" w:rsidRDefault="002B1AE1" w:rsidP="002B1AE1">
      <w:r w:rsidRPr="00BA3E48">
        <w:t xml:space="preserve"> </w:t>
      </w:r>
    </w:p>
    <w:p w14:paraId="0D3FE856" w14:textId="77777777" w:rsidR="002B1AE1" w:rsidRDefault="002B1AE1" w:rsidP="002B1AE1">
      <w:pPr>
        <w:pStyle w:val="Lijstalinea"/>
        <w:numPr>
          <w:ilvl w:val="0"/>
          <w:numId w:val="1"/>
        </w:numPr>
      </w:pPr>
      <w:r w:rsidRPr="00AD0F00">
        <w:rPr>
          <w:b/>
          <w:szCs w:val="19"/>
        </w:rPr>
        <w:t>Inzicht</w:t>
      </w:r>
      <w:r>
        <w:rPr>
          <w:szCs w:val="19"/>
        </w:rPr>
        <w:t xml:space="preserve"> </w:t>
      </w:r>
      <w:r w:rsidRPr="0087665A">
        <w:t>maakt een organisatie bewust van de eigen CO</w:t>
      </w:r>
      <w:r w:rsidRPr="00AD0F00">
        <w:rPr>
          <w:vertAlign w:val="subscript"/>
        </w:rPr>
        <w:t>2</w:t>
      </w:r>
      <w:r w:rsidRPr="0087665A">
        <w:t xml:space="preserve">-prestatie, de risico’s en kansen, biedt de organisatie informatie </w:t>
      </w:r>
      <w:r>
        <w:t xml:space="preserve">die ze kan gebruiken </w:t>
      </w:r>
      <w:r w:rsidRPr="0087665A">
        <w:t xml:space="preserve">voor </w:t>
      </w:r>
      <w:r>
        <w:t xml:space="preserve">het </w:t>
      </w:r>
      <w:r w:rsidRPr="0087665A">
        <w:t>formuleren van effectieve doelstellingen en maatregelen</w:t>
      </w:r>
      <w:r>
        <w:t xml:space="preserve"> om de </w:t>
      </w:r>
      <w:r w:rsidRPr="006C3145">
        <w:t>CO</w:t>
      </w:r>
      <w:r w:rsidRPr="006C3145">
        <w:rPr>
          <w:vertAlign w:val="subscript"/>
        </w:rPr>
        <w:t>2</w:t>
      </w:r>
      <w:r>
        <w:t>-uitstoot te reduceren</w:t>
      </w:r>
      <w:r w:rsidRPr="0087665A">
        <w:t xml:space="preserve">, en waar de communicatie en samenwerking zich op dient te richten. </w:t>
      </w:r>
      <w:r>
        <w:t>Invalshoek A s</w:t>
      </w:r>
      <w:r w:rsidRPr="0087665A">
        <w:t xml:space="preserve">timuleert organisaties om eigen uitstoot en in de </w:t>
      </w:r>
      <w:r w:rsidRPr="005E1ED4">
        <w:t>keten</w:t>
      </w:r>
      <w:r w:rsidRPr="0087665A">
        <w:t xml:space="preserve"> te kennen. </w:t>
      </w:r>
      <w:r>
        <w:t>De organisatie r</w:t>
      </w:r>
      <w:r w:rsidRPr="0087665A">
        <w:t>ealiseert continue verbetering in de diepgang, reikwijdte en efficiëntie van inzicht en kwaliteit van de emissie-inventaris.</w:t>
      </w:r>
    </w:p>
    <w:p w14:paraId="67C0EA68" w14:textId="77777777" w:rsidR="002B1AE1" w:rsidRPr="00AD0F00" w:rsidRDefault="002B1AE1" w:rsidP="002B1AE1">
      <w:pPr>
        <w:pStyle w:val="Lijstalinea"/>
        <w:ind w:left="360"/>
      </w:pPr>
    </w:p>
    <w:p w14:paraId="6EED7657" w14:textId="77777777" w:rsidR="002B1AE1" w:rsidRDefault="002B1AE1" w:rsidP="002B1AE1">
      <w:pPr>
        <w:pStyle w:val="Lijstalinea"/>
        <w:numPr>
          <w:ilvl w:val="0"/>
          <w:numId w:val="1"/>
        </w:numPr>
      </w:pPr>
      <w:r>
        <w:rPr>
          <w:b/>
          <w:szCs w:val="19"/>
        </w:rPr>
        <w:t>Reductie</w:t>
      </w:r>
      <w:r>
        <w:rPr>
          <w:szCs w:val="19"/>
        </w:rPr>
        <w:t xml:space="preserve"> </w:t>
      </w:r>
      <w:r w:rsidRPr="00E806D6">
        <w:t>creëert kansen voor het terugdringen van energieverbruik en CO</w:t>
      </w:r>
      <w:r w:rsidRPr="00E806D6">
        <w:rPr>
          <w:vertAlign w:val="subscript"/>
        </w:rPr>
        <w:t>2</w:t>
      </w:r>
      <w:r w:rsidRPr="00E806D6">
        <w:t>-uitstoot</w:t>
      </w:r>
      <w:r>
        <w:t>,</w:t>
      </w:r>
      <w:r w:rsidRPr="00E806D6">
        <w:t xml:space="preserve"> en bevordert samenwerking zodat de meest efficiënte opties voor reductie in de keten worden aangepakt. De organisatie realiseert continue verbetering van de efficiëntie van maatregelen, in het vaststellen en behalen van doelen en het aantonen van voortgang op doelstellingen en maatregelen.</w:t>
      </w:r>
    </w:p>
    <w:p w14:paraId="26E1CA4A" w14:textId="77777777" w:rsidR="002B1AE1" w:rsidRPr="00E806D6" w:rsidRDefault="002B1AE1" w:rsidP="002B1AE1"/>
    <w:p w14:paraId="3F1A34E7" w14:textId="77777777" w:rsidR="002B1AE1" w:rsidRDefault="002B1AE1" w:rsidP="002B1AE1">
      <w:pPr>
        <w:pStyle w:val="Lijstalinea"/>
        <w:numPr>
          <w:ilvl w:val="0"/>
          <w:numId w:val="1"/>
        </w:numPr>
      </w:pPr>
      <w:r w:rsidRPr="000327C1">
        <w:rPr>
          <w:b/>
          <w:szCs w:val="19"/>
        </w:rPr>
        <w:t>Transparantie</w:t>
      </w:r>
      <w:r>
        <w:rPr>
          <w:szCs w:val="19"/>
        </w:rPr>
        <w:t xml:space="preserve"> </w:t>
      </w:r>
      <w:r w:rsidRPr="0087665A">
        <w:t>stimuleert de creatieve betrokkenheid van medewerkers</w:t>
      </w:r>
      <w:r>
        <w:t xml:space="preserve">. Ook </w:t>
      </w:r>
      <w:r w:rsidRPr="0087665A">
        <w:t xml:space="preserve">weten organisaties </w:t>
      </w:r>
      <w:r>
        <w:t xml:space="preserve">van </w:t>
      </w:r>
      <w:r w:rsidRPr="0087665A">
        <w:t xml:space="preserve">elkaars inzet, en kan een organisatie door anderen worden aangesproken op de ambities en vorderingen. De organisatie realiseert continue verbetering in de diepgang en verspreiding van de communicatie en in het verwerken van inbreng van de interne en externe belanghebbenden. </w:t>
      </w:r>
    </w:p>
    <w:p w14:paraId="6B6C4859" w14:textId="77777777" w:rsidR="002B1AE1" w:rsidRPr="00194381" w:rsidRDefault="002B1AE1" w:rsidP="002B1AE1"/>
    <w:p w14:paraId="342074A5" w14:textId="77777777" w:rsidR="002B1AE1" w:rsidRPr="00194381" w:rsidRDefault="002B1AE1" w:rsidP="002B1AE1">
      <w:pPr>
        <w:pStyle w:val="Lijstalinea"/>
        <w:numPr>
          <w:ilvl w:val="0"/>
          <w:numId w:val="1"/>
        </w:numPr>
        <w:jc w:val="left"/>
      </w:pPr>
      <w:r w:rsidRPr="00194381">
        <w:rPr>
          <w:b/>
          <w:szCs w:val="19"/>
        </w:rPr>
        <w:t>Participatie</w:t>
      </w:r>
      <w:r w:rsidRPr="00194381">
        <w:rPr>
          <w:szCs w:val="19"/>
        </w:rPr>
        <w:t xml:space="preserve"> </w:t>
      </w:r>
      <w:r>
        <w:rPr>
          <w:szCs w:val="19"/>
        </w:rPr>
        <w:t xml:space="preserve">laat </w:t>
      </w:r>
      <w:r w:rsidRPr="0087665A">
        <w:t xml:space="preserve">een organisatie </w:t>
      </w:r>
      <w:r>
        <w:t>investeren in samenwerking</w:t>
      </w:r>
      <w:r w:rsidRPr="0087665A">
        <w:t>, delen van eigen kennis en daar waar mogelijk gebruikmaken van kennis die elders is ontwikkeld. De organisatie realiseert continue verbetering in het selecteren van nuttige initiatieven en het toepassen van de kennis</w:t>
      </w:r>
      <w:r>
        <w:t xml:space="preserve"> in de organisatie. </w:t>
      </w:r>
    </w:p>
    <w:p w14:paraId="5C27B096" w14:textId="77777777" w:rsidR="002B1AE1" w:rsidRPr="00BA3E48" w:rsidRDefault="002B1AE1" w:rsidP="002B1AE1"/>
    <w:p w14:paraId="79AE51BD" w14:textId="77777777" w:rsidR="002B1AE1" w:rsidRPr="00BA3E48" w:rsidRDefault="002B1AE1" w:rsidP="002B1AE1">
      <w:pPr>
        <w:rPr>
          <w:szCs w:val="19"/>
        </w:rPr>
      </w:pPr>
      <w:r w:rsidRPr="00BA3E48">
        <w:rPr>
          <w:szCs w:val="19"/>
        </w:rPr>
        <w:t>Een erkende certificerende instantie beoordeelt de activiteiten en bepaalt het niveau van de CO</w:t>
      </w:r>
      <w:r w:rsidRPr="00BA3E48">
        <w:rPr>
          <w:szCs w:val="19"/>
          <w:vertAlign w:val="subscript"/>
        </w:rPr>
        <w:t>2</w:t>
      </w:r>
      <w:r w:rsidRPr="00BA3E48">
        <w:rPr>
          <w:szCs w:val="19"/>
        </w:rPr>
        <w:t>-Prestatieladder. Hiervoor moeten stappen zijn gezet op alle invalshoeken van de ladder. In onderstaand figuur wordt bovenstaande tekst schematisch weergegeven met de bijbehorende weging van de invalshoeken voor certificering (bron: Handboek CO</w:t>
      </w:r>
      <w:r w:rsidRPr="00BA3E48">
        <w:rPr>
          <w:szCs w:val="19"/>
          <w:vertAlign w:val="subscript"/>
        </w:rPr>
        <w:t>2</w:t>
      </w:r>
      <w:r w:rsidRPr="00BA3E48">
        <w:rPr>
          <w:szCs w:val="19"/>
        </w:rPr>
        <w:t>-Prestatieladder 3.1, SKAO).</w:t>
      </w:r>
    </w:p>
    <w:p w14:paraId="2F82CB67" w14:textId="77777777" w:rsidR="002B1AE1" w:rsidRPr="00BA3E48" w:rsidRDefault="002B1AE1" w:rsidP="002B1AE1">
      <w:pPr>
        <w:rPr>
          <w:szCs w:val="19"/>
        </w:rPr>
      </w:pPr>
      <w:r w:rsidRPr="00BA3E48">
        <w:rPr>
          <w:noProof/>
          <w:szCs w:val="19"/>
        </w:rPr>
        <w:drawing>
          <wp:anchor distT="0" distB="0" distL="114300" distR="114300" simplePos="0" relativeHeight="251658243" behindDoc="1" locked="0" layoutInCell="1" allowOverlap="1" wp14:anchorId="265B6E9B" wp14:editId="1CAEF89E">
            <wp:simplePos x="0" y="0"/>
            <wp:positionH relativeFrom="column">
              <wp:posOffset>796389</wp:posOffset>
            </wp:positionH>
            <wp:positionV relativeFrom="paragraph">
              <wp:posOffset>151130</wp:posOffset>
            </wp:positionV>
            <wp:extent cx="4236154" cy="1652530"/>
            <wp:effectExtent l="0" t="0" r="5715" b="0"/>
            <wp:wrapTight wrapText="bothSides">
              <wp:wrapPolygon edited="0">
                <wp:start x="0" y="0"/>
                <wp:lineTo x="0" y="21417"/>
                <wp:lineTo x="21564" y="21417"/>
                <wp:lineTo x="2156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6154" cy="1652530"/>
                    </a:xfrm>
                    <a:prstGeom prst="rect">
                      <a:avLst/>
                    </a:prstGeom>
                  </pic:spPr>
                </pic:pic>
              </a:graphicData>
            </a:graphic>
            <wp14:sizeRelH relativeFrom="page">
              <wp14:pctWidth>0</wp14:pctWidth>
            </wp14:sizeRelH>
            <wp14:sizeRelV relativeFrom="page">
              <wp14:pctHeight>0</wp14:pctHeight>
            </wp14:sizeRelV>
          </wp:anchor>
        </w:drawing>
      </w:r>
    </w:p>
    <w:p w14:paraId="47C1FF1E" w14:textId="77777777" w:rsidR="002B1AE1" w:rsidRDefault="002B1AE1" w:rsidP="002B1AE1">
      <w:pPr>
        <w:pStyle w:val="Kop1"/>
        <w:numPr>
          <w:ilvl w:val="0"/>
          <w:numId w:val="0"/>
        </w:numPr>
        <w:ind w:left="432"/>
      </w:pPr>
    </w:p>
    <w:p w14:paraId="7864ED6C" w14:textId="77777777" w:rsidR="002B1AE1" w:rsidRDefault="002B1AE1">
      <w:pPr>
        <w:jc w:val="left"/>
        <w:rPr>
          <w:rFonts w:eastAsiaTheme="majorEastAsia" w:cstheme="majorBidi"/>
          <w:color w:val="6ABE93"/>
          <w:sz w:val="32"/>
          <w:szCs w:val="32"/>
        </w:rPr>
      </w:pPr>
      <w:r>
        <w:br w:type="page"/>
      </w:r>
    </w:p>
    <w:p w14:paraId="52F54C08" w14:textId="77777777" w:rsidR="008F5FF4" w:rsidRDefault="0099392F" w:rsidP="008F729A">
      <w:pPr>
        <w:pStyle w:val="Kop1"/>
      </w:pPr>
      <w:bookmarkStart w:id="3" w:name="_Toc118736203"/>
      <w:bookmarkStart w:id="4" w:name="_Toc142472092"/>
      <w:r>
        <w:lastRenderedPageBreak/>
        <w:t>Directiebeoordeling</w:t>
      </w:r>
      <w:bookmarkEnd w:id="3"/>
      <w:bookmarkEnd w:id="4"/>
    </w:p>
    <w:p w14:paraId="2772BC3A" w14:textId="77777777" w:rsidR="00E80BB0" w:rsidRDefault="00E80BB0"/>
    <w:p w14:paraId="77ABD76E" w14:textId="572373C8" w:rsidR="00DB40D6" w:rsidRDefault="006F3717">
      <w:r>
        <w:t xml:space="preserve">De directiebeoordeling </w:t>
      </w:r>
      <w:r w:rsidR="00E80BB0">
        <w:t xml:space="preserve">van de </w:t>
      </w:r>
      <w:r w:rsidR="00E80BB0" w:rsidRPr="006C3145">
        <w:t>CO</w:t>
      </w:r>
      <w:r w:rsidR="00E80BB0" w:rsidRPr="006C3145">
        <w:rPr>
          <w:vertAlign w:val="subscript"/>
        </w:rPr>
        <w:t>2</w:t>
      </w:r>
      <w:r w:rsidR="00E80BB0">
        <w:t xml:space="preserve">-Prestatieladder </w:t>
      </w:r>
      <w:r>
        <w:t xml:space="preserve">vindt jaarlijks plaats om </w:t>
      </w:r>
      <w:r w:rsidR="004F7799">
        <w:t xml:space="preserve">de continue geschiktheid, toereikendheid, doeltreffendheid en afstemming met de strategische richting van de organisatie te bewerkstelligen. </w:t>
      </w:r>
      <w:r w:rsidR="00EB2AA1">
        <w:t xml:space="preserve">Deze beoordeling is onderdeel van </w:t>
      </w:r>
      <w:r w:rsidR="00D24E12">
        <w:t xml:space="preserve">onze </w:t>
      </w:r>
      <w:r w:rsidR="00833B63">
        <w:t>Plan-Do-Check-Act cyclus</w:t>
      </w:r>
      <w:r w:rsidR="007253D2">
        <w:t>.</w:t>
      </w:r>
      <w:r w:rsidR="00DA5B4A">
        <w:t xml:space="preserve"> De verwezen paragrafen zijn onderdeel van de directiebeoordeling. </w:t>
      </w:r>
    </w:p>
    <w:p w14:paraId="1674996A" w14:textId="77777777" w:rsidR="0082726F" w:rsidRDefault="0082726F" w:rsidP="0082726F">
      <w:pPr>
        <w:rPr>
          <w:color w:val="ED7D31" w:themeColor="accent2"/>
        </w:rPr>
      </w:pPr>
    </w:p>
    <w:p w14:paraId="122E3421" w14:textId="77777777" w:rsidR="0082726F" w:rsidRDefault="0082726F" w:rsidP="0082726F">
      <w:pPr>
        <w:pStyle w:val="Kop2"/>
      </w:pPr>
      <w:bookmarkStart w:id="5" w:name="_Toc118736207"/>
      <w:bookmarkStart w:id="6" w:name="_Toc142472093"/>
      <w:r>
        <w:t>Significante wijzigingen</w:t>
      </w:r>
      <w:bookmarkEnd w:id="5"/>
      <w:bookmarkEnd w:id="6"/>
    </w:p>
    <w:p w14:paraId="5D5FE2CA" w14:textId="396145ED" w:rsidR="002134DD" w:rsidRPr="002134DD" w:rsidRDefault="002134DD" w:rsidP="004A675A">
      <w:pPr>
        <w:pStyle w:val="Kop3"/>
      </w:pPr>
      <w:bookmarkStart w:id="7" w:name="_Organizational_boundary"/>
      <w:bookmarkStart w:id="8" w:name="_Toc118736208"/>
      <w:bookmarkStart w:id="9" w:name="_Toc142472094"/>
      <w:bookmarkEnd w:id="7"/>
      <w:r>
        <w:t>O</w:t>
      </w:r>
      <w:r w:rsidR="00715FB8">
        <w:t>rganizational boundary</w:t>
      </w:r>
      <w:bookmarkEnd w:id="8"/>
      <w:bookmarkEnd w:id="9"/>
      <w:r>
        <w:t xml:space="preserve"> en Referentiejaar</w:t>
      </w:r>
    </w:p>
    <w:p w14:paraId="648DC7B0" w14:textId="20058618" w:rsidR="002134DD" w:rsidRDefault="00150924" w:rsidP="002134DD">
      <w:r>
        <w:t>Zie paragraaf</w:t>
      </w:r>
      <w:r w:rsidR="005B1065" w:rsidRPr="002134DD">
        <w:t xml:space="preserve"> </w:t>
      </w:r>
      <w:hyperlink w:anchor="_Organizational_boundary_1" w:history="1">
        <w:r w:rsidR="005B1065" w:rsidRPr="002134DD">
          <w:rPr>
            <w:rStyle w:val="Hyperlink"/>
            <w:color w:val="6BBE93"/>
          </w:rPr>
          <w:t>4.3</w:t>
        </w:r>
      </w:hyperlink>
      <w:r w:rsidR="00C35FE9" w:rsidRPr="002134DD">
        <w:rPr>
          <w:rStyle w:val="Hyperlink"/>
          <w:color w:val="6BBE93"/>
        </w:rPr>
        <w:t>.</w:t>
      </w:r>
      <w:r w:rsidR="00C35FE9">
        <w:t xml:space="preserve"> </w:t>
      </w:r>
      <w:r w:rsidR="002134DD">
        <w:t xml:space="preserve">en paragraaf </w:t>
      </w:r>
      <w:hyperlink w:anchor="_Referentiejaar_en_rapportagejaar" w:history="1">
        <w:r w:rsidR="002134DD" w:rsidRPr="00C35FE9">
          <w:rPr>
            <w:rStyle w:val="Hyperlink"/>
            <w:color w:val="6BBE93"/>
          </w:rPr>
          <w:t>5.2</w:t>
        </w:r>
      </w:hyperlink>
      <w:r w:rsidR="00DA5B4A">
        <w:t xml:space="preserve">. </w:t>
      </w:r>
    </w:p>
    <w:p w14:paraId="531F379E" w14:textId="77777777" w:rsidR="00506760" w:rsidRPr="004061F7" w:rsidRDefault="00506760" w:rsidP="002134DD">
      <w:pPr>
        <w:rPr>
          <w:color w:val="ED7D31" w:themeColor="accent2"/>
        </w:rPr>
      </w:pPr>
    </w:p>
    <w:p w14:paraId="79712454" w14:textId="4B91617C" w:rsidR="00FB730E" w:rsidRPr="005A6293" w:rsidRDefault="00FB730E" w:rsidP="00FB730E">
      <w:pPr>
        <w:rPr>
          <w:color w:val="ED7D31" w:themeColor="accent2"/>
        </w:rPr>
      </w:pPr>
      <w:r w:rsidRPr="005A6293">
        <w:rPr>
          <w:color w:val="ED7D31" w:themeColor="accent2"/>
        </w:rPr>
        <w:t xml:space="preserve">De </w:t>
      </w:r>
      <w:r w:rsidR="00190DDD" w:rsidRPr="005A6293">
        <w:rPr>
          <w:color w:val="ED7D31" w:themeColor="accent2"/>
        </w:rPr>
        <w:t>boundary bestaat</w:t>
      </w:r>
      <w:r w:rsidRPr="005A6293">
        <w:rPr>
          <w:color w:val="ED7D31" w:themeColor="accent2"/>
        </w:rPr>
        <w:t xml:space="preserve"> uit enkel de entiteit CityTec B.V. Er hebben geen </w:t>
      </w:r>
      <w:r w:rsidR="00CF70F3" w:rsidRPr="005A6293">
        <w:rPr>
          <w:color w:val="ED7D31" w:themeColor="accent2"/>
        </w:rPr>
        <w:t>wijzigingen</w:t>
      </w:r>
      <w:r w:rsidRPr="005A6293">
        <w:rPr>
          <w:color w:val="ED7D31" w:themeColor="accent2"/>
        </w:rPr>
        <w:t xml:space="preserve"> plaatsgevonden. De boundary geldt daarom voor de entiteit CityTec B.V. De organizational boundary is niet gewijzigd ten opzichte van vorig jaar. </w:t>
      </w:r>
    </w:p>
    <w:p w14:paraId="68083BBF" w14:textId="77777777" w:rsidR="004D4D91" w:rsidRDefault="004D4D91" w:rsidP="004A675A">
      <w:pPr>
        <w:rPr>
          <w:color w:val="ED7D31" w:themeColor="accent2"/>
        </w:rPr>
      </w:pPr>
    </w:p>
    <w:p w14:paraId="3675E0B2" w14:textId="77777777" w:rsidR="006D2B59" w:rsidRDefault="006D2B59" w:rsidP="006D2B59">
      <w:pPr>
        <w:pStyle w:val="Kop3"/>
      </w:pPr>
      <w:bookmarkStart w:id="10" w:name="_Toc118736210"/>
      <w:bookmarkStart w:id="11" w:name="_Toc142472096"/>
      <w:r>
        <w:t xml:space="preserve">Plan van aanpak en </w:t>
      </w:r>
      <w:r w:rsidRPr="006C3145">
        <w:t>CO</w:t>
      </w:r>
      <w:r w:rsidRPr="006C3145">
        <w:rPr>
          <w:vertAlign w:val="subscript"/>
        </w:rPr>
        <w:t>2</w:t>
      </w:r>
      <w:r>
        <w:t>-reductiedoelstellingen</w:t>
      </w:r>
      <w:bookmarkEnd w:id="10"/>
      <w:bookmarkEnd w:id="11"/>
    </w:p>
    <w:p w14:paraId="6339F03E" w14:textId="77777777" w:rsidR="006D2B59" w:rsidRDefault="00150924" w:rsidP="006D2B59">
      <w:pPr>
        <w:rPr>
          <w:color w:val="000000" w:themeColor="text1"/>
        </w:rPr>
      </w:pPr>
      <w:r>
        <w:t xml:space="preserve">Zie paragraaf </w:t>
      </w:r>
      <w:hyperlink w:anchor="_CO2-reductiedoelstellingen_en_voort" w:history="1">
        <w:r w:rsidRPr="00C35FE9">
          <w:rPr>
            <w:rStyle w:val="Hyperlink"/>
            <w:color w:val="6BBE93"/>
          </w:rPr>
          <w:t>6.2</w:t>
        </w:r>
      </w:hyperlink>
      <w:r w:rsidR="00C35FE9">
        <w:rPr>
          <w:color w:val="000000" w:themeColor="text1"/>
        </w:rPr>
        <w:t>.</w:t>
      </w:r>
    </w:p>
    <w:p w14:paraId="1C37F0E9" w14:textId="77777777" w:rsidR="008C281E" w:rsidRPr="00C35FE9" w:rsidRDefault="008C281E" w:rsidP="006D2B59">
      <w:pPr>
        <w:rPr>
          <w:color w:val="000000" w:themeColor="text1"/>
        </w:rPr>
      </w:pPr>
    </w:p>
    <w:p w14:paraId="21A89351" w14:textId="0A448333" w:rsidR="008C281E" w:rsidRPr="005A6293" w:rsidRDefault="008C281E" w:rsidP="008C281E">
      <w:pPr>
        <w:rPr>
          <w:color w:val="ED7D31" w:themeColor="accent2"/>
        </w:rPr>
      </w:pPr>
      <w:r w:rsidRPr="001C47AD">
        <w:rPr>
          <w:color w:val="ED7D31" w:themeColor="accent2"/>
        </w:rPr>
        <w:t>Dit rapport betreft 202</w:t>
      </w:r>
      <w:r w:rsidR="001C47AD">
        <w:rPr>
          <w:color w:val="ED7D31" w:themeColor="accent2"/>
        </w:rPr>
        <w:t>4</w:t>
      </w:r>
      <w:r w:rsidRPr="001C47AD">
        <w:rPr>
          <w:color w:val="ED7D31" w:themeColor="accent2"/>
        </w:rPr>
        <w:t xml:space="preserve">. </w:t>
      </w:r>
      <w:r w:rsidR="00CC2054" w:rsidRPr="001C47AD">
        <w:rPr>
          <w:color w:val="ED7D31" w:themeColor="accent2"/>
        </w:rPr>
        <w:t xml:space="preserve">De doelstelling </w:t>
      </w:r>
      <w:r w:rsidR="00806870" w:rsidRPr="001C47AD">
        <w:rPr>
          <w:color w:val="ED7D31" w:themeColor="accent2"/>
        </w:rPr>
        <w:t>liep af in 2023, om deze reden is er</w:t>
      </w:r>
      <w:r w:rsidR="00CC2054" w:rsidRPr="001C47AD">
        <w:rPr>
          <w:color w:val="ED7D31" w:themeColor="accent2"/>
        </w:rPr>
        <w:t xml:space="preserve"> een nieuw plan van aanpak, doelstelling en doelstellingsjaar bepaald. </w:t>
      </w:r>
      <w:r w:rsidRPr="001C47AD">
        <w:rPr>
          <w:color w:val="ED7D31" w:themeColor="accent2"/>
        </w:rPr>
        <w:t>Het</w:t>
      </w:r>
      <w:r w:rsidRPr="005A6293">
        <w:rPr>
          <w:color w:val="ED7D31" w:themeColor="accent2"/>
        </w:rPr>
        <w:t xml:space="preserve"> jaar 2017 dient daarbij </w:t>
      </w:r>
      <w:r w:rsidR="00806870" w:rsidRPr="005A6293">
        <w:rPr>
          <w:color w:val="ED7D31" w:themeColor="accent2"/>
        </w:rPr>
        <w:t xml:space="preserve">nog steeds </w:t>
      </w:r>
      <w:r w:rsidRPr="005A6293">
        <w:rPr>
          <w:color w:val="ED7D31" w:themeColor="accent2"/>
        </w:rPr>
        <w:t>als referentiejaar voor de CO</w:t>
      </w:r>
      <w:r w:rsidRPr="005A6293">
        <w:rPr>
          <w:color w:val="ED7D31" w:themeColor="accent2"/>
          <w:vertAlign w:val="subscript"/>
        </w:rPr>
        <w:t>2</w:t>
      </w:r>
      <w:r w:rsidRPr="005A6293">
        <w:rPr>
          <w:color w:val="ED7D31" w:themeColor="accent2"/>
        </w:rPr>
        <w:t>-reductiedoelstellingen en het monitoren van de CO</w:t>
      </w:r>
      <w:r w:rsidRPr="005A6293">
        <w:rPr>
          <w:color w:val="ED7D31" w:themeColor="accent2"/>
          <w:vertAlign w:val="subscript"/>
        </w:rPr>
        <w:t>2</w:t>
      </w:r>
      <w:r w:rsidRPr="005A6293">
        <w:rPr>
          <w:color w:val="ED7D31" w:themeColor="accent2"/>
        </w:rPr>
        <w:t>-uitstoot.</w:t>
      </w:r>
    </w:p>
    <w:p w14:paraId="40C263B9" w14:textId="77777777" w:rsidR="00885421" w:rsidRDefault="00885421" w:rsidP="004A675A">
      <w:pPr>
        <w:rPr>
          <w:color w:val="ED7D31" w:themeColor="accent2"/>
        </w:rPr>
      </w:pPr>
    </w:p>
    <w:p w14:paraId="7C788AF1" w14:textId="77777777" w:rsidR="00885421" w:rsidRDefault="00B91082" w:rsidP="00885421">
      <w:pPr>
        <w:pStyle w:val="Kop3"/>
      </w:pPr>
      <w:bookmarkStart w:id="12" w:name="_Projecten_met_gunningvoordeel"/>
      <w:bookmarkStart w:id="13" w:name="_Toc118736211"/>
      <w:bookmarkStart w:id="14" w:name="_Toc142472097"/>
      <w:bookmarkEnd w:id="12"/>
      <w:r>
        <w:t>Actieve p</w:t>
      </w:r>
      <w:r w:rsidR="00885421">
        <w:t>rojecten met gunningvoordeel</w:t>
      </w:r>
      <w:bookmarkEnd w:id="13"/>
      <w:bookmarkEnd w:id="14"/>
    </w:p>
    <w:p w14:paraId="37773E7B" w14:textId="77777777" w:rsidR="00706B2C" w:rsidRPr="00C35FE9" w:rsidRDefault="00150924" w:rsidP="00706B2C">
      <w:pPr>
        <w:rPr>
          <w:color w:val="000000" w:themeColor="text1"/>
        </w:rPr>
      </w:pPr>
      <w:r w:rsidRPr="00150924">
        <w:rPr>
          <w:color w:val="000000" w:themeColor="text1"/>
        </w:rPr>
        <w:t xml:space="preserve">Zie paragraaf </w:t>
      </w:r>
      <w:hyperlink w:anchor="_Projecten_met_gunningvoordeel_1" w:history="1">
        <w:r w:rsidRPr="00C35FE9">
          <w:rPr>
            <w:rStyle w:val="Hyperlink"/>
            <w:color w:val="6BBE93"/>
          </w:rPr>
          <w:t>4.5</w:t>
        </w:r>
      </w:hyperlink>
      <w:r w:rsidR="00C35FE9">
        <w:rPr>
          <w:color w:val="000000" w:themeColor="text1"/>
        </w:rPr>
        <w:t xml:space="preserve">. </w:t>
      </w:r>
    </w:p>
    <w:p w14:paraId="74A4C321" w14:textId="77777777" w:rsidR="001F0BD0" w:rsidRDefault="001F0BD0" w:rsidP="00706B2C"/>
    <w:p w14:paraId="6FDED002" w14:textId="77777777" w:rsidR="00E06FB2" w:rsidRDefault="00E06FB2" w:rsidP="00E06FB2">
      <w:pPr>
        <w:pStyle w:val="Kop2"/>
      </w:pPr>
      <w:bookmarkStart w:id="15" w:name="_Toc118736212"/>
      <w:bookmarkStart w:id="16" w:name="_Toc142472098"/>
      <w:r>
        <w:t>Prestaties</w:t>
      </w:r>
      <w:bookmarkEnd w:id="15"/>
      <w:bookmarkEnd w:id="16"/>
      <w:r w:rsidR="001F0BD0">
        <w:t xml:space="preserve"> </w:t>
      </w:r>
    </w:p>
    <w:p w14:paraId="51DEC2DA" w14:textId="77777777" w:rsidR="00E06FB2" w:rsidRDefault="00E06FB2" w:rsidP="00E06FB2">
      <w:pPr>
        <w:pStyle w:val="Kop3"/>
      </w:pPr>
      <w:bookmarkStart w:id="17" w:name="_Toc118736213"/>
      <w:bookmarkStart w:id="18" w:name="_Toc142472099"/>
      <w:r w:rsidRPr="006C3145">
        <w:t>CO</w:t>
      </w:r>
      <w:r w:rsidRPr="006C3145">
        <w:rPr>
          <w:vertAlign w:val="subscript"/>
        </w:rPr>
        <w:t>2</w:t>
      </w:r>
      <w:r>
        <w:t>-emissies</w:t>
      </w:r>
      <w:r w:rsidR="00217C63">
        <w:t>, energie</w:t>
      </w:r>
      <w:r w:rsidR="00C35FE9">
        <w:t>verbruik</w:t>
      </w:r>
      <w:r w:rsidR="00217C63">
        <w:t xml:space="preserve"> </w:t>
      </w:r>
      <w:r>
        <w:t xml:space="preserve">en </w:t>
      </w:r>
      <w:r w:rsidR="00FF4E78">
        <w:t>energiebeoordeling</w:t>
      </w:r>
      <w:bookmarkEnd w:id="17"/>
      <w:bookmarkEnd w:id="18"/>
    </w:p>
    <w:p w14:paraId="69E61536" w14:textId="77777777" w:rsidR="00D87815" w:rsidRDefault="00D87815" w:rsidP="00D87815">
      <w:pPr>
        <w:rPr>
          <w:b/>
          <w:bCs/>
        </w:rPr>
      </w:pPr>
      <w:r w:rsidRPr="00D87815">
        <w:rPr>
          <w:b/>
          <w:bCs/>
        </w:rPr>
        <w:t>CO</w:t>
      </w:r>
      <w:r w:rsidRPr="00D87815">
        <w:rPr>
          <w:b/>
          <w:bCs/>
          <w:vertAlign w:val="subscript"/>
        </w:rPr>
        <w:t>2</w:t>
      </w:r>
      <w:r>
        <w:rPr>
          <w:b/>
          <w:bCs/>
        </w:rPr>
        <w:t>-emissies</w:t>
      </w:r>
    </w:p>
    <w:p w14:paraId="3AC8A7A9" w14:textId="77777777" w:rsidR="003408E8" w:rsidRPr="00C35FE9" w:rsidRDefault="00150924" w:rsidP="003408E8">
      <w:pPr>
        <w:rPr>
          <w:b/>
          <w:bCs/>
          <w:color w:val="FF0000"/>
        </w:rPr>
      </w:pPr>
      <w:r>
        <w:t xml:space="preserve">Zie paragraaf </w:t>
      </w:r>
      <w:hyperlink w:anchor="_CO2-emissie_berekeningen" w:history="1">
        <w:r w:rsidRPr="00C35FE9">
          <w:rPr>
            <w:rStyle w:val="Hyperlink"/>
            <w:color w:val="6BBE93"/>
          </w:rPr>
          <w:t>5.4</w:t>
        </w:r>
      </w:hyperlink>
      <w:r w:rsidR="00C35FE9">
        <w:rPr>
          <w:color w:val="000000" w:themeColor="text1"/>
        </w:rPr>
        <w:t xml:space="preserve">. </w:t>
      </w:r>
      <w:r>
        <w:t xml:space="preserve"> </w:t>
      </w:r>
    </w:p>
    <w:p w14:paraId="3BCDF4DA" w14:textId="77777777" w:rsidR="00DA5B4A" w:rsidRDefault="00DA5B4A" w:rsidP="00D87815">
      <w:pPr>
        <w:rPr>
          <w:b/>
          <w:bCs/>
        </w:rPr>
      </w:pPr>
    </w:p>
    <w:p w14:paraId="6F0F2DD6" w14:textId="41BFF3E0" w:rsidR="00A979DC" w:rsidRPr="005A6293" w:rsidRDefault="00A979DC" w:rsidP="00A979DC">
      <w:pPr>
        <w:rPr>
          <w:color w:val="ED7D31" w:themeColor="accent2"/>
        </w:rPr>
      </w:pPr>
      <w:r w:rsidRPr="001C47AD">
        <w:rPr>
          <w:color w:val="ED7D31" w:themeColor="accent2"/>
        </w:rPr>
        <w:t xml:space="preserve">De doelstelling van CityTec was om in 2023 30% CO2 te reduceren t.o.v. referentiejaar 2017, met een behaalde reductie van </w:t>
      </w:r>
      <w:r w:rsidR="00F03FCB" w:rsidRPr="001C47AD">
        <w:rPr>
          <w:color w:val="ED7D31" w:themeColor="accent2"/>
        </w:rPr>
        <w:t>30</w:t>
      </w:r>
      <w:r w:rsidRPr="001C47AD">
        <w:rPr>
          <w:color w:val="ED7D31" w:themeColor="accent2"/>
        </w:rPr>
        <w:t>% is deze doelstelling net gehaald.</w:t>
      </w:r>
      <w:r w:rsidR="000C3E79" w:rsidRPr="001C47AD">
        <w:rPr>
          <w:color w:val="ED7D31" w:themeColor="accent2"/>
        </w:rPr>
        <w:t xml:space="preserve"> Er is een nieuwe doelstelling opgenomen. </w:t>
      </w:r>
      <w:r w:rsidR="001C47AD" w:rsidRPr="001C47AD">
        <w:rPr>
          <w:color w:val="ED7D31" w:themeColor="accent2"/>
        </w:rPr>
        <w:t>In 2027 wil CityTec ten opzichte van 2017 52% CO reduceren, gerelateerd aan de omzet</w:t>
      </w:r>
    </w:p>
    <w:p w14:paraId="345E6D1E" w14:textId="77777777" w:rsidR="00A979DC" w:rsidRPr="005A6293" w:rsidRDefault="00A979DC" w:rsidP="00A979DC">
      <w:pPr>
        <w:rPr>
          <w:color w:val="ED7D31" w:themeColor="accent2"/>
        </w:rPr>
      </w:pPr>
    </w:p>
    <w:p w14:paraId="258CF3D6" w14:textId="6BE4CABA" w:rsidR="00A979DC" w:rsidRPr="005A6293" w:rsidRDefault="00A979DC" w:rsidP="00A979DC">
      <w:pPr>
        <w:rPr>
          <w:color w:val="ED7D31" w:themeColor="accent2"/>
        </w:rPr>
      </w:pPr>
      <w:r w:rsidRPr="005A6293">
        <w:rPr>
          <w:color w:val="ED7D31" w:themeColor="accent2"/>
        </w:rPr>
        <w:t>De financieel uitdagende periode van 2020/2021</w:t>
      </w:r>
      <w:r w:rsidR="008E5434">
        <w:rPr>
          <w:color w:val="ED7D31" w:themeColor="accent2"/>
        </w:rPr>
        <w:t>/2022</w:t>
      </w:r>
      <w:r w:rsidRPr="005A6293">
        <w:rPr>
          <w:color w:val="ED7D31" w:themeColor="accent2"/>
        </w:rPr>
        <w:t xml:space="preserve"> heeft een significante impact gehad, resulterend in een noodzakelijke reorganisatie en een wijziging in de directie. Deze ontwikkelingen resulteerden in een onzekere periode waarin de focus op CO2-reductie onverminderd belangrijk bleef, maar onvermijdelijk minder aandacht kreeg. De organisatie heeft noodgedwongen een stap terug moeten doen. </w:t>
      </w:r>
    </w:p>
    <w:p w14:paraId="2B732DB6" w14:textId="77777777" w:rsidR="00A979DC" w:rsidRPr="005A6293" w:rsidRDefault="00A979DC" w:rsidP="00A979DC">
      <w:pPr>
        <w:rPr>
          <w:color w:val="ED7D31" w:themeColor="accent2"/>
        </w:rPr>
      </w:pPr>
    </w:p>
    <w:p w14:paraId="315A44D3" w14:textId="78EA0C3F" w:rsidR="00A979DC" w:rsidRPr="005A6293" w:rsidRDefault="00F03FCB" w:rsidP="00D87815">
      <w:pPr>
        <w:rPr>
          <w:color w:val="ED7D31" w:themeColor="accent2"/>
        </w:rPr>
      </w:pPr>
      <w:r w:rsidRPr="005A6293">
        <w:rPr>
          <w:color w:val="ED7D31" w:themeColor="accent2"/>
        </w:rPr>
        <w:t>D</w:t>
      </w:r>
      <w:r w:rsidR="00A979DC" w:rsidRPr="005A6293">
        <w:rPr>
          <w:color w:val="ED7D31" w:themeColor="accent2"/>
        </w:rPr>
        <w:t xml:space="preserve">e directie </w:t>
      </w:r>
      <w:r w:rsidRPr="005A6293">
        <w:rPr>
          <w:color w:val="ED7D31" w:themeColor="accent2"/>
        </w:rPr>
        <w:t>is</w:t>
      </w:r>
      <w:r w:rsidR="00A979DC" w:rsidRPr="005A6293">
        <w:rPr>
          <w:color w:val="ED7D31" w:themeColor="accent2"/>
        </w:rPr>
        <w:t xml:space="preserve"> tevreden </w:t>
      </w:r>
      <w:r w:rsidR="00F15F2C" w:rsidRPr="005A6293">
        <w:rPr>
          <w:color w:val="ED7D31" w:themeColor="accent2"/>
        </w:rPr>
        <w:t>over het behalen</w:t>
      </w:r>
      <w:r w:rsidR="00A979DC" w:rsidRPr="005A6293">
        <w:rPr>
          <w:color w:val="ED7D31" w:themeColor="accent2"/>
        </w:rPr>
        <w:t xml:space="preserve"> van de doelstelling, </w:t>
      </w:r>
      <w:r w:rsidR="00F15F2C" w:rsidRPr="005A6293">
        <w:rPr>
          <w:color w:val="ED7D31" w:themeColor="accent2"/>
        </w:rPr>
        <w:t xml:space="preserve">zeker gezien de financieel uitdagende periode van </w:t>
      </w:r>
      <w:r w:rsidR="008E5434" w:rsidRPr="005A6293">
        <w:rPr>
          <w:color w:val="ED7D31" w:themeColor="accent2"/>
        </w:rPr>
        <w:t>2020/2021</w:t>
      </w:r>
      <w:r w:rsidR="008E5434">
        <w:rPr>
          <w:color w:val="ED7D31" w:themeColor="accent2"/>
        </w:rPr>
        <w:t>/2022</w:t>
      </w:r>
      <w:r w:rsidR="00F15F2C" w:rsidRPr="005A6293">
        <w:rPr>
          <w:color w:val="ED7D31" w:themeColor="accent2"/>
        </w:rPr>
        <w:t xml:space="preserve">. Dit was ook het hoogst haalbare gezien de omstandigheden. </w:t>
      </w:r>
    </w:p>
    <w:p w14:paraId="16BC8EC2" w14:textId="77777777" w:rsidR="00A979DC" w:rsidRPr="00C35FE9" w:rsidRDefault="00A979DC" w:rsidP="00D87815">
      <w:pPr>
        <w:rPr>
          <w:b/>
          <w:bCs/>
        </w:rPr>
      </w:pPr>
    </w:p>
    <w:p w14:paraId="0791FACC" w14:textId="77777777" w:rsidR="00D87815" w:rsidRDefault="00217C63" w:rsidP="00D87815">
      <w:pPr>
        <w:rPr>
          <w:b/>
          <w:bCs/>
        </w:rPr>
      </w:pPr>
      <w:r>
        <w:rPr>
          <w:b/>
          <w:bCs/>
        </w:rPr>
        <w:t>Energie</w:t>
      </w:r>
      <w:r w:rsidR="00C35FE9">
        <w:rPr>
          <w:b/>
          <w:bCs/>
        </w:rPr>
        <w:t>verbruik en energiebeoordeling</w:t>
      </w:r>
    </w:p>
    <w:p w14:paraId="009DDDBC" w14:textId="77777777" w:rsidR="0096073F" w:rsidRPr="005A6293" w:rsidRDefault="0096073F" w:rsidP="0096073F">
      <w:pPr>
        <w:rPr>
          <w:color w:val="ED7D31" w:themeColor="accent2"/>
        </w:rPr>
      </w:pPr>
      <w:r w:rsidRPr="005A6293">
        <w:rPr>
          <w:color w:val="ED7D31" w:themeColor="accent2"/>
        </w:rPr>
        <w:t xml:space="preserve">Nu de stabiliteit binnen de organisatie is hersteld, is er weer ruimte om met vernieuwde energie en focus vooruit te kijken naar de toekomst. De algemene conclusie naar aanleiding van de CO2-emissies is dat brandstof de grootste emissiestroom blijft met de meeste impact. </w:t>
      </w:r>
    </w:p>
    <w:p w14:paraId="435033DD" w14:textId="77777777" w:rsidR="0096073F" w:rsidRPr="005A6293" w:rsidRDefault="0096073F" w:rsidP="0096073F">
      <w:pPr>
        <w:rPr>
          <w:color w:val="ED7D31" w:themeColor="accent2"/>
        </w:rPr>
      </w:pPr>
    </w:p>
    <w:p w14:paraId="76E27276" w14:textId="7133ADAC" w:rsidR="0096073F" w:rsidRPr="005A6293" w:rsidRDefault="0096073F" w:rsidP="0096073F">
      <w:pPr>
        <w:rPr>
          <w:color w:val="ED7D31" w:themeColor="accent2"/>
        </w:rPr>
      </w:pPr>
      <w:r w:rsidRPr="005A6293">
        <w:rPr>
          <w:color w:val="ED7D31" w:themeColor="accent2"/>
        </w:rPr>
        <w:t xml:space="preserve">CityTec zal inzetten op vervanging van het wagenpark naar volledig elektrische auto’s, of </w:t>
      </w:r>
      <w:r w:rsidR="000C3E79" w:rsidRPr="005A6293">
        <w:rPr>
          <w:color w:val="ED7D31" w:themeColor="accent2"/>
        </w:rPr>
        <w:t>-</w:t>
      </w:r>
      <w:r w:rsidRPr="005A6293">
        <w:rPr>
          <w:color w:val="ED7D31" w:themeColor="accent2"/>
        </w:rPr>
        <w:t>waar elektrisch praktisch niet mogelijk is</w:t>
      </w:r>
      <w:r w:rsidR="000C3E79" w:rsidRPr="005A6293">
        <w:rPr>
          <w:color w:val="ED7D31" w:themeColor="accent2"/>
        </w:rPr>
        <w:t>-</w:t>
      </w:r>
      <w:r w:rsidRPr="005A6293">
        <w:rPr>
          <w:color w:val="ED7D31" w:themeColor="accent2"/>
        </w:rPr>
        <w:t xml:space="preserve"> het </w:t>
      </w:r>
      <w:r w:rsidR="001E0C73" w:rsidRPr="005A6293">
        <w:rPr>
          <w:color w:val="ED7D31" w:themeColor="accent2"/>
        </w:rPr>
        <w:t>inzetten</w:t>
      </w:r>
      <w:r w:rsidRPr="005A6293">
        <w:rPr>
          <w:color w:val="ED7D31" w:themeColor="accent2"/>
        </w:rPr>
        <w:t xml:space="preserve"> van biobrandstoffen. </w:t>
      </w:r>
    </w:p>
    <w:p w14:paraId="684E019D" w14:textId="77777777" w:rsidR="0096073F" w:rsidRPr="005A6293" w:rsidRDefault="0096073F" w:rsidP="0096073F">
      <w:pPr>
        <w:rPr>
          <w:color w:val="ED7D31" w:themeColor="accent2"/>
        </w:rPr>
      </w:pPr>
    </w:p>
    <w:p w14:paraId="13A0E1D8" w14:textId="31FACC1B" w:rsidR="0096073F" w:rsidRPr="005A6293" w:rsidRDefault="0096073F" w:rsidP="0096073F">
      <w:pPr>
        <w:rPr>
          <w:color w:val="ED7D31" w:themeColor="accent2"/>
        </w:rPr>
      </w:pPr>
      <w:r w:rsidRPr="005A6293">
        <w:rPr>
          <w:color w:val="ED7D31" w:themeColor="accent2"/>
        </w:rPr>
        <w:t xml:space="preserve">Verder blijven ze </w:t>
      </w:r>
      <w:r w:rsidR="00F15F2C" w:rsidRPr="005A6293">
        <w:rPr>
          <w:color w:val="ED7D31" w:themeColor="accent2"/>
        </w:rPr>
        <w:t>Nederlandse groene</w:t>
      </w:r>
      <w:r w:rsidRPr="005A6293">
        <w:rPr>
          <w:color w:val="ED7D31" w:themeColor="accent2"/>
        </w:rPr>
        <w:t xml:space="preserve"> stroom inkopen</w:t>
      </w:r>
      <w:r w:rsidR="00F15F2C" w:rsidRPr="005A6293">
        <w:rPr>
          <w:color w:val="ED7D31" w:themeColor="accent2"/>
        </w:rPr>
        <w:t xml:space="preserve"> voor de eigen locaties</w:t>
      </w:r>
      <w:r w:rsidRPr="005A6293">
        <w:rPr>
          <w:color w:val="ED7D31" w:themeColor="accent2"/>
        </w:rPr>
        <w:t xml:space="preserve">. Daar wat dit niet mogelijk is (omdat de verhuurder of netbeheerder dat niet toestaat) </w:t>
      </w:r>
      <w:r w:rsidR="00047249" w:rsidRPr="005A6293">
        <w:rPr>
          <w:color w:val="ED7D31" w:themeColor="accent2"/>
        </w:rPr>
        <w:t>kopen ze</w:t>
      </w:r>
      <w:r w:rsidRPr="005A6293">
        <w:rPr>
          <w:color w:val="ED7D31" w:themeColor="accent2"/>
        </w:rPr>
        <w:t xml:space="preserve"> GvO’s  ter compensatie van het resterende grijze verbruik.</w:t>
      </w:r>
    </w:p>
    <w:p w14:paraId="1E04CDF9" w14:textId="77777777" w:rsidR="0096073F" w:rsidRPr="005A6293" w:rsidRDefault="0096073F" w:rsidP="0096073F">
      <w:pPr>
        <w:rPr>
          <w:color w:val="ED7D31" w:themeColor="accent2"/>
        </w:rPr>
      </w:pPr>
    </w:p>
    <w:p w14:paraId="67843D82" w14:textId="7848621F" w:rsidR="006A46F9" w:rsidRPr="005A6293" w:rsidRDefault="0096073F" w:rsidP="0034012B">
      <w:pPr>
        <w:rPr>
          <w:color w:val="ED7D31" w:themeColor="accent2"/>
        </w:rPr>
      </w:pPr>
      <w:r w:rsidRPr="005A6293">
        <w:rPr>
          <w:color w:val="ED7D31" w:themeColor="accent2"/>
        </w:rPr>
        <w:lastRenderedPageBreak/>
        <w:t xml:space="preserve">Ze blijven zich inzetten om de panden </w:t>
      </w:r>
      <w:r w:rsidR="00047249" w:rsidRPr="005A6293">
        <w:rPr>
          <w:color w:val="ED7D31" w:themeColor="accent2"/>
        </w:rPr>
        <w:t>te verduurzamen</w:t>
      </w:r>
      <w:r w:rsidRPr="005A6293">
        <w:rPr>
          <w:color w:val="ED7D31" w:themeColor="accent2"/>
        </w:rPr>
        <w:t xml:space="preserve"> door met de verhuurders afspraken te maken over plaatsing zonnepanelen en terugdringen gasverbruik.</w:t>
      </w:r>
    </w:p>
    <w:p w14:paraId="5346679F" w14:textId="77777777" w:rsidR="001E0C73" w:rsidRPr="0096073F" w:rsidRDefault="001E0C73" w:rsidP="0034012B"/>
    <w:p w14:paraId="5E2B6DD8" w14:textId="77777777" w:rsidR="00734810" w:rsidRDefault="00734810" w:rsidP="00734810">
      <w:pPr>
        <w:pStyle w:val="Kop3"/>
      </w:pPr>
      <w:bookmarkStart w:id="19" w:name="_Toc118736214"/>
      <w:bookmarkStart w:id="20" w:name="_Toc142472100"/>
      <w:r>
        <w:t xml:space="preserve">Energiebeleid en </w:t>
      </w:r>
      <w:bookmarkEnd w:id="19"/>
      <w:r w:rsidR="00196228">
        <w:t>voortgang</w:t>
      </w:r>
      <w:bookmarkEnd w:id="20"/>
    </w:p>
    <w:p w14:paraId="4321D162" w14:textId="77777777" w:rsidR="00196228" w:rsidRPr="00196228" w:rsidRDefault="00196228" w:rsidP="00734810">
      <w:pPr>
        <w:rPr>
          <w:b/>
          <w:bCs/>
        </w:rPr>
      </w:pPr>
      <w:r w:rsidRPr="00196228">
        <w:rPr>
          <w:b/>
          <w:bCs/>
        </w:rPr>
        <w:t>CO</w:t>
      </w:r>
      <w:r w:rsidRPr="00196228">
        <w:rPr>
          <w:b/>
          <w:bCs/>
          <w:vertAlign w:val="subscript"/>
        </w:rPr>
        <w:t>2</w:t>
      </w:r>
      <w:r>
        <w:rPr>
          <w:b/>
          <w:bCs/>
        </w:rPr>
        <w:t>-</w:t>
      </w:r>
      <w:r w:rsidR="001E7EB4">
        <w:rPr>
          <w:b/>
          <w:bCs/>
        </w:rPr>
        <w:t>reductiedoelstelling</w:t>
      </w:r>
      <w:r w:rsidR="00C35FE9">
        <w:rPr>
          <w:b/>
          <w:bCs/>
        </w:rPr>
        <w:t xml:space="preserve"> en voortgang</w:t>
      </w:r>
    </w:p>
    <w:p w14:paraId="036A753F" w14:textId="77777777" w:rsidR="00C35FE9" w:rsidRPr="00C35FE9" w:rsidRDefault="00C35FE9" w:rsidP="00FF4E78">
      <w:pPr>
        <w:rPr>
          <w:color w:val="000000" w:themeColor="text1"/>
        </w:rPr>
      </w:pPr>
      <w:r>
        <w:t>Zie paragraaf</w:t>
      </w:r>
      <w:r w:rsidRPr="00C35FE9">
        <w:rPr>
          <w:color w:val="6BBE93"/>
        </w:rPr>
        <w:t xml:space="preserve"> </w:t>
      </w:r>
      <w:hyperlink w:anchor="_CO2-reductiedoelstellingen_en_voort" w:history="1">
        <w:r w:rsidRPr="00C35FE9">
          <w:rPr>
            <w:rStyle w:val="Hyperlink"/>
            <w:color w:val="6BBE93"/>
          </w:rPr>
          <w:t>6.2</w:t>
        </w:r>
      </w:hyperlink>
      <w:r>
        <w:rPr>
          <w:color w:val="000000" w:themeColor="text1"/>
        </w:rPr>
        <w:t xml:space="preserve">. </w:t>
      </w:r>
    </w:p>
    <w:p w14:paraId="2620A0CB" w14:textId="77777777" w:rsidR="00C35FE9" w:rsidRDefault="00C35FE9" w:rsidP="00FF4E78"/>
    <w:p w14:paraId="4A27D090" w14:textId="0969B1C7" w:rsidR="00196228" w:rsidRPr="005A6293" w:rsidRDefault="00BA5D6E" w:rsidP="00FF4E78">
      <w:pPr>
        <w:rPr>
          <w:color w:val="ED7D31" w:themeColor="accent2"/>
        </w:rPr>
      </w:pPr>
      <w:r w:rsidRPr="00344861">
        <w:rPr>
          <w:color w:val="ED7D31" w:themeColor="accent2"/>
        </w:rPr>
        <w:t xml:space="preserve">De organisatie heeft de beoogde doelstelling precies behaald. Dit is voornamelijk te danken aan het feit dat de meeste maatregelen gedurende de afgelopen jaren zijn geïmplementeerd. Sommige maatregelen konden niet eerder worden uitgevoerd, wat heeft geleid tot vertraging, met name bij de introductie van alternatieve brandstoffen. Deze maatregelen zijn opgenomen in de lijst van te nemen maatregelen voor de komende jaren. Bovendien is de lijst uitgebreid met nieuwe maatregelen, en op basis daarvan is een nieuwe doelstelling vastgesteld. CityTec is van mening dat deze doelstelling zowel realistisch als ambitieus is. </w:t>
      </w:r>
      <w:r w:rsidR="001B6BD4" w:rsidRPr="00344861">
        <w:rPr>
          <w:color w:val="ED7D31" w:themeColor="accent2"/>
        </w:rPr>
        <w:t>We</w:t>
      </w:r>
      <w:r w:rsidRPr="00344861">
        <w:rPr>
          <w:color w:val="ED7D31" w:themeColor="accent2"/>
        </w:rPr>
        <w:t xml:space="preserve"> hebben er vertrouwen in dat deze doelstelling zal worden behaald, omdat de maatregelenlijst is herzien en de kwaliteit van de maatregelen wordt gehandhaafd, wat betekent dat de focus kan worden behouden.</w:t>
      </w:r>
    </w:p>
    <w:p w14:paraId="11EB3259" w14:textId="77777777" w:rsidR="00552030" w:rsidRDefault="00552030" w:rsidP="00FF4E78"/>
    <w:p w14:paraId="7479020B" w14:textId="77777777" w:rsidR="001E7EB4" w:rsidRPr="001E7EB4" w:rsidRDefault="001E7EB4" w:rsidP="00FF4E78">
      <w:pPr>
        <w:rPr>
          <w:b/>
          <w:bCs/>
        </w:rPr>
      </w:pPr>
      <w:r>
        <w:rPr>
          <w:b/>
          <w:bCs/>
        </w:rPr>
        <w:t xml:space="preserve">Energie reductiedoelstelling </w:t>
      </w:r>
    </w:p>
    <w:p w14:paraId="6150691D" w14:textId="77777777" w:rsidR="005B1065" w:rsidRPr="005B1065" w:rsidRDefault="005B1065" w:rsidP="00FF4E78">
      <w:pPr>
        <w:rPr>
          <w:color w:val="000000" w:themeColor="text1"/>
        </w:rPr>
      </w:pPr>
      <w:r>
        <w:t xml:space="preserve">Zie paragraaf </w:t>
      </w:r>
      <w:hyperlink w:anchor="_Energiebeoordeling" w:history="1">
        <w:r w:rsidRPr="005B1065">
          <w:rPr>
            <w:rStyle w:val="Hyperlink"/>
            <w:color w:val="6BBE93"/>
          </w:rPr>
          <w:t>6.3</w:t>
        </w:r>
      </w:hyperlink>
      <w:r>
        <w:rPr>
          <w:color w:val="000000" w:themeColor="text1"/>
        </w:rPr>
        <w:t xml:space="preserve">. </w:t>
      </w:r>
    </w:p>
    <w:p w14:paraId="1AF61082" w14:textId="77777777" w:rsidR="00937D8D" w:rsidRDefault="00937D8D" w:rsidP="00FF4E78"/>
    <w:p w14:paraId="6CE41AA6" w14:textId="77777777" w:rsidR="00FF4E78" w:rsidRDefault="00FF4E78" w:rsidP="00FF4E78">
      <w:pPr>
        <w:pStyle w:val="Kop3"/>
      </w:pPr>
      <w:bookmarkStart w:id="21" w:name="_Toc118736216"/>
      <w:bookmarkStart w:id="22" w:name="_Toc142472101"/>
      <w:r>
        <w:t>Communicatie</w:t>
      </w:r>
      <w:bookmarkEnd w:id="21"/>
      <w:bookmarkEnd w:id="22"/>
      <w:r>
        <w:t xml:space="preserve"> </w:t>
      </w:r>
    </w:p>
    <w:p w14:paraId="05DF40D4" w14:textId="138E38A4" w:rsidR="00BC60AF" w:rsidRPr="005A6293" w:rsidRDefault="00C571C7" w:rsidP="00BC60AF">
      <w:pPr>
        <w:rPr>
          <w:color w:val="ED7D31" w:themeColor="accent2"/>
        </w:rPr>
      </w:pPr>
      <w:r w:rsidRPr="005A6293">
        <w:rPr>
          <w:color w:val="ED7D31" w:themeColor="accent2"/>
        </w:rPr>
        <w:t>Er wordt tenminste halfjaarlijks intern en extern gecommuniceerd over de CO</w:t>
      </w:r>
      <w:r w:rsidRPr="005A6293">
        <w:rPr>
          <w:color w:val="ED7D31" w:themeColor="accent2"/>
          <w:vertAlign w:val="subscript"/>
        </w:rPr>
        <w:t>2</w:t>
      </w:r>
      <w:r w:rsidRPr="005A6293">
        <w:rPr>
          <w:color w:val="ED7D31" w:themeColor="accent2"/>
        </w:rPr>
        <w:t>-</w:t>
      </w:r>
      <w:r w:rsidR="00401E34" w:rsidRPr="005A6293">
        <w:rPr>
          <w:color w:val="ED7D31" w:themeColor="accent2"/>
        </w:rPr>
        <w:t>footprint</w:t>
      </w:r>
      <w:r w:rsidRPr="005A6293">
        <w:rPr>
          <w:color w:val="ED7D31" w:themeColor="accent2"/>
        </w:rPr>
        <w:t xml:space="preserve">, de voortgang van het plan van aanpak en </w:t>
      </w:r>
      <w:r w:rsidR="00FC41CC" w:rsidRPr="005A6293">
        <w:rPr>
          <w:color w:val="ED7D31" w:themeColor="accent2"/>
        </w:rPr>
        <w:t>de doelstellingen</w:t>
      </w:r>
      <w:r w:rsidR="00010908" w:rsidRPr="005A6293">
        <w:rPr>
          <w:color w:val="ED7D31" w:themeColor="accent2"/>
        </w:rPr>
        <w:t xml:space="preserve">, </w:t>
      </w:r>
      <w:r w:rsidR="00FC41CC" w:rsidRPr="005A6293">
        <w:rPr>
          <w:color w:val="ED7D31" w:themeColor="accent2"/>
        </w:rPr>
        <w:t xml:space="preserve">de </w:t>
      </w:r>
      <w:r w:rsidRPr="005A6293">
        <w:rPr>
          <w:color w:val="ED7D31" w:themeColor="accent2"/>
        </w:rPr>
        <w:t>mogelijkheid van individuele bijdrage van medewerkers</w:t>
      </w:r>
      <w:r w:rsidR="00010908" w:rsidRPr="005A6293">
        <w:rPr>
          <w:color w:val="ED7D31" w:themeColor="accent2"/>
        </w:rPr>
        <w:t xml:space="preserve"> en de initiatieven.</w:t>
      </w:r>
      <w:r w:rsidRPr="005A6293">
        <w:rPr>
          <w:color w:val="ED7D31" w:themeColor="accent2"/>
        </w:rPr>
        <w:t xml:space="preserve"> </w:t>
      </w:r>
      <w:r w:rsidR="00703AC1" w:rsidRPr="005A6293">
        <w:rPr>
          <w:color w:val="ED7D31" w:themeColor="accent2"/>
        </w:rPr>
        <w:t xml:space="preserve">Dit gebeurt </w:t>
      </w:r>
      <w:r w:rsidR="007C1288" w:rsidRPr="005A6293">
        <w:rPr>
          <w:color w:val="ED7D31" w:themeColor="accent2"/>
        </w:rPr>
        <w:t>conform het hiervoor opgestelde communicatieplan.</w:t>
      </w:r>
      <w:r w:rsidR="00703AC1" w:rsidRPr="005A6293">
        <w:rPr>
          <w:color w:val="ED7D31" w:themeColor="accent2"/>
        </w:rPr>
        <w:t xml:space="preserve"> </w:t>
      </w:r>
      <w:r w:rsidR="00A51347" w:rsidRPr="005A6293">
        <w:rPr>
          <w:color w:val="ED7D31" w:themeColor="accent2"/>
        </w:rPr>
        <w:t xml:space="preserve">Deze communicatie omvat ook de projecten met gunningvoordeel indien aanwezig. </w:t>
      </w:r>
      <w:r w:rsidR="009753DE" w:rsidRPr="005A6293">
        <w:rPr>
          <w:color w:val="ED7D31" w:themeColor="accent2"/>
        </w:rPr>
        <w:t>Daarnaast word</w:t>
      </w:r>
      <w:r w:rsidR="005655CE" w:rsidRPr="005A6293">
        <w:rPr>
          <w:color w:val="ED7D31" w:themeColor="accent2"/>
        </w:rPr>
        <w:t>en</w:t>
      </w:r>
      <w:r w:rsidR="009753DE" w:rsidRPr="005A6293">
        <w:rPr>
          <w:color w:val="ED7D31" w:themeColor="accent2"/>
        </w:rPr>
        <w:t xml:space="preserve"> op de website van de SKAO en op de eigen website de verplichte internetpublicaties </w:t>
      </w:r>
      <w:r w:rsidR="005655CE" w:rsidRPr="005A6293">
        <w:rPr>
          <w:color w:val="ED7D31" w:themeColor="accent2"/>
        </w:rPr>
        <w:t>geplaats</w:t>
      </w:r>
      <w:r w:rsidR="007C1288" w:rsidRPr="005A6293">
        <w:rPr>
          <w:color w:val="ED7D31" w:themeColor="accent2"/>
        </w:rPr>
        <w:t>t</w:t>
      </w:r>
      <w:r w:rsidR="005655CE" w:rsidRPr="005A6293">
        <w:rPr>
          <w:color w:val="ED7D31" w:themeColor="accent2"/>
        </w:rPr>
        <w:t>.</w:t>
      </w:r>
      <w:r w:rsidR="00F96E94" w:rsidRPr="005A6293">
        <w:rPr>
          <w:color w:val="ED7D31" w:themeColor="accent2"/>
        </w:rPr>
        <w:t xml:space="preserve"> Er zijn geen wijzigingen nodig. </w:t>
      </w:r>
    </w:p>
    <w:p w14:paraId="60C6B57E" w14:textId="77777777" w:rsidR="004937F1" w:rsidRDefault="004937F1" w:rsidP="00BC60AF"/>
    <w:p w14:paraId="422D909E" w14:textId="77777777" w:rsidR="004937F1" w:rsidRDefault="004937F1" w:rsidP="004937F1">
      <w:pPr>
        <w:pStyle w:val="Kop3"/>
      </w:pPr>
      <w:bookmarkStart w:id="23" w:name="_Toc118736217"/>
      <w:bookmarkStart w:id="24" w:name="_Toc142472102"/>
      <w:r>
        <w:t>Initiatieven</w:t>
      </w:r>
      <w:bookmarkEnd w:id="23"/>
      <w:bookmarkEnd w:id="24"/>
    </w:p>
    <w:p w14:paraId="18E3B7B3" w14:textId="6EB428E8" w:rsidR="00041129" w:rsidRPr="005A6293" w:rsidRDefault="003330CB" w:rsidP="00041129">
      <w:pPr>
        <w:rPr>
          <w:color w:val="ED7D31" w:themeColor="accent2"/>
        </w:rPr>
      </w:pPr>
      <w:r w:rsidRPr="005A6293">
        <w:rPr>
          <w:color w:val="ED7D31" w:themeColor="accent2"/>
        </w:rPr>
        <w:t>Er wordt actief deelgenomen aan de CO</w:t>
      </w:r>
      <w:r w:rsidRPr="005A6293">
        <w:rPr>
          <w:color w:val="ED7D31" w:themeColor="accent2"/>
          <w:vertAlign w:val="subscript"/>
        </w:rPr>
        <w:t>2</w:t>
      </w:r>
      <w:r w:rsidRPr="005A6293">
        <w:rPr>
          <w:color w:val="ED7D31" w:themeColor="accent2"/>
        </w:rPr>
        <w:t xml:space="preserve">-reductieinitiatieven </w:t>
      </w:r>
      <w:r w:rsidRPr="004A22D2">
        <w:rPr>
          <w:color w:val="ED7D31" w:themeColor="accent2"/>
        </w:rPr>
        <w:t>Stichting Positieve Impact, De Duurzame Leverancier</w:t>
      </w:r>
      <w:r w:rsidRPr="005A6293">
        <w:rPr>
          <w:color w:val="ED7D31" w:themeColor="accent2"/>
        </w:rPr>
        <w:t xml:space="preserve"> en aan diverse initiatieven/kennissessies met sectorgenoten. Het doel van deze deelnamen met sector- en/of ketenpartners is het uitwisselen van kennis en stimuleren van innovatie omtrent CO</w:t>
      </w:r>
      <w:r w:rsidRPr="005A6293">
        <w:rPr>
          <w:color w:val="ED7D31" w:themeColor="accent2"/>
          <w:vertAlign w:val="subscript"/>
        </w:rPr>
        <w:t>2</w:t>
      </w:r>
      <w:r w:rsidRPr="005A6293">
        <w:rPr>
          <w:color w:val="ED7D31" w:themeColor="accent2"/>
        </w:rPr>
        <w:t>-reductie. Hiervoor wordt jaarlijks een budget vrijgemaakt, wat in deze directiebeoordeling geaccordeerd wordt.</w:t>
      </w:r>
      <w:r w:rsidR="0034012B" w:rsidRPr="005A6293">
        <w:rPr>
          <w:color w:val="ED7D31" w:themeColor="accent2"/>
        </w:rPr>
        <w:t xml:space="preserve"> </w:t>
      </w:r>
    </w:p>
    <w:p w14:paraId="3192A216" w14:textId="77777777" w:rsidR="00C76E5D" w:rsidRPr="005B1065" w:rsidRDefault="00C76E5D" w:rsidP="000E3402">
      <w:pPr>
        <w:rPr>
          <w:color w:val="000000" w:themeColor="text1"/>
        </w:rPr>
      </w:pPr>
    </w:p>
    <w:p w14:paraId="6E1EBDF3" w14:textId="77777777" w:rsidR="000E3402" w:rsidRDefault="001F0BD0" w:rsidP="006322C9">
      <w:pPr>
        <w:pStyle w:val="Kop2"/>
      </w:pPr>
      <w:bookmarkStart w:id="25" w:name="_Toc118736218"/>
      <w:bookmarkStart w:id="26" w:name="_Toc142472103"/>
      <w:r>
        <w:t>Doeltreffendheid en t</w:t>
      </w:r>
      <w:r w:rsidR="006322C9">
        <w:t>oereikendheid van middelen</w:t>
      </w:r>
      <w:bookmarkEnd w:id="25"/>
      <w:bookmarkEnd w:id="26"/>
    </w:p>
    <w:p w14:paraId="2C69F8CF" w14:textId="16CE7315" w:rsidR="009E722B" w:rsidRPr="005A6293" w:rsidRDefault="00597054" w:rsidP="0034012B">
      <w:pPr>
        <w:rPr>
          <w:color w:val="ED7D31" w:themeColor="accent2"/>
        </w:rPr>
      </w:pPr>
      <w:r w:rsidRPr="005A6293">
        <w:rPr>
          <w:color w:val="ED7D31" w:themeColor="accent2"/>
        </w:rPr>
        <w:t>De projectleider</w:t>
      </w:r>
      <w:r w:rsidR="009E722B" w:rsidRPr="005A6293">
        <w:rPr>
          <w:color w:val="ED7D31" w:themeColor="accent2"/>
        </w:rPr>
        <w:t xml:space="preserve"> heeft beoordeeld dat het CO</w:t>
      </w:r>
      <w:r w:rsidR="009E722B" w:rsidRPr="005A6293">
        <w:rPr>
          <w:color w:val="ED7D31" w:themeColor="accent2"/>
          <w:vertAlign w:val="subscript"/>
        </w:rPr>
        <w:t>2</w:t>
      </w:r>
      <w:r w:rsidR="009E722B" w:rsidRPr="005A6293">
        <w:rPr>
          <w:color w:val="ED7D31" w:themeColor="accent2"/>
        </w:rPr>
        <w:t>-reductiesysteem werkt naar behoren</w:t>
      </w:r>
      <w:r w:rsidR="00F36DBC" w:rsidRPr="005A6293">
        <w:rPr>
          <w:color w:val="ED7D31" w:themeColor="accent2"/>
        </w:rPr>
        <w:t xml:space="preserve"> naar aanleiding van de bevindingen uit de interne audit</w:t>
      </w:r>
      <w:r w:rsidR="0015012D" w:rsidRPr="005A6293">
        <w:rPr>
          <w:color w:val="ED7D31" w:themeColor="accent2"/>
        </w:rPr>
        <w:t xml:space="preserve"> met betrekking tot de doelstellingen per eis</w:t>
      </w:r>
      <w:r w:rsidR="009E722B" w:rsidRPr="005A6293">
        <w:rPr>
          <w:color w:val="ED7D31" w:themeColor="accent2"/>
        </w:rPr>
        <w:t>. Er is geen noodzaak voor wijzigingen in het opgestelde CO</w:t>
      </w:r>
      <w:r w:rsidR="009E722B" w:rsidRPr="005A6293">
        <w:rPr>
          <w:color w:val="ED7D31" w:themeColor="accent2"/>
          <w:vertAlign w:val="subscript"/>
        </w:rPr>
        <w:t>2</w:t>
      </w:r>
      <w:r w:rsidR="009E722B" w:rsidRPr="005A6293">
        <w:rPr>
          <w:color w:val="ED7D31" w:themeColor="accent2"/>
        </w:rPr>
        <w:t xml:space="preserve">-managementsysteem, de doelstellingen, maatregelen of deelname aan initiatieven. </w:t>
      </w:r>
    </w:p>
    <w:p w14:paraId="787AD578" w14:textId="77777777" w:rsidR="001F0BD0" w:rsidRPr="005A6293" w:rsidRDefault="001F0BD0" w:rsidP="009E722B">
      <w:pPr>
        <w:rPr>
          <w:color w:val="ED7D31" w:themeColor="accent2"/>
        </w:rPr>
      </w:pPr>
    </w:p>
    <w:p w14:paraId="1B5C463F" w14:textId="327FB6CD" w:rsidR="009E722B" w:rsidRPr="005A6293" w:rsidRDefault="007E799D" w:rsidP="009E722B">
      <w:pPr>
        <w:rPr>
          <w:color w:val="ED7D31" w:themeColor="accent2"/>
        </w:rPr>
      </w:pPr>
      <w:r w:rsidRPr="005A6293">
        <w:rPr>
          <w:color w:val="ED7D31" w:themeColor="accent2"/>
        </w:rPr>
        <w:t>H</w:t>
      </w:r>
      <w:r w:rsidR="009E722B" w:rsidRPr="005A6293">
        <w:rPr>
          <w:color w:val="ED7D31" w:themeColor="accent2"/>
        </w:rPr>
        <w:t xml:space="preserve">et </w:t>
      </w:r>
      <w:r w:rsidR="00B3301F" w:rsidRPr="005A6293">
        <w:rPr>
          <w:color w:val="ED7D31" w:themeColor="accent2"/>
        </w:rPr>
        <w:t>(</w:t>
      </w:r>
      <w:r w:rsidR="009E722B" w:rsidRPr="005A6293">
        <w:rPr>
          <w:color w:val="ED7D31" w:themeColor="accent2"/>
        </w:rPr>
        <w:t>per halfjaar</w:t>
      </w:r>
      <w:r w:rsidR="00B3301F" w:rsidRPr="005A6293">
        <w:rPr>
          <w:color w:val="ED7D31" w:themeColor="accent2"/>
        </w:rPr>
        <w:t>)</w:t>
      </w:r>
      <w:r w:rsidR="009E722B" w:rsidRPr="005A6293">
        <w:rPr>
          <w:color w:val="ED7D31" w:themeColor="accent2"/>
        </w:rPr>
        <w:t xml:space="preserve"> in kaart brengen van de emissiestromen </w:t>
      </w:r>
      <w:r w:rsidRPr="005A6293">
        <w:rPr>
          <w:color w:val="ED7D31" w:themeColor="accent2"/>
        </w:rPr>
        <w:t xml:space="preserve">geeft </w:t>
      </w:r>
      <w:r w:rsidR="009E722B" w:rsidRPr="005A6293">
        <w:rPr>
          <w:color w:val="ED7D31" w:themeColor="accent2"/>
        </w:rPr>
        <w:t xml:space="preserve">veel inzicht in de energieverbruiken en </w:t>
      </w:r>
      <w:r w:rsidR="00B14122" w:rsidRPr="005A6293">
        <w:rPr>
          <w:color w:val="ED7D31" w:themeColor="accent2"/>
        </w:rPr>
        <w:t xml:space="preserve">geeft </w:t>
      </w:r>
      <w:r w:rsidR="009E722B" w:rsidRPr="005A6293">
        <w:rPr>
          <w:color w:val="ED7D31" w:themeColor="accent2"/>
        </w:rPr>
        <w:t>het handvatten om het verbruik gericht te reduceren. De interne communicatie over dit onderwerp draagt bij tot het vergroten van de bewustwording onder de medewerkers. Het certificaat is nog steeds van belang voor het binnen halen van opdrachten, onze positie in de markt en duurzaamheidsambities. Om deze reden</w:t>
      </w:r>
      <w:r w:rsidR="00701466" w:rsidRPr="005A6293">
        <w:rPr>
          <w:color w:val="ED7D31" w:themeColor="accent2"/>
        </w:rPr>
        <w:t>en</w:t>
      </w:r>
      <w:r w:rsidR="009E722B" w:rsidRPr="005A6293">
        <w:rPr>
          <w:color w:val="ED7D31" w:themeColor="accent2"/>
        </w:rPr>
        <w:t xml:space="preserve"> vindt de</w:t>
      </w:r>
      <w:r w:rsidR="00B3301F" w:rsidRPr="005A6293">
        <w:rPr>
          <w:color w:val="ED7D31" w:themeColor="accent2"/>
        </w:rPr>
        <w:t xml:space="preserve"> projectleider</w:t>
      </w:r>
      <w:r w:rsidR="009E722B" w:rsidRPr="005A6293">
        <w:rPr>
          <w:color w:val="ED7D31" w:themeColor="accent2"/>
        </w:rPr>
        <w:t xml:space="preserve"> het relevant om het certificaat te behoude</w:t>
      </w:r>
      <w:r w:rsidR="00512C27" w:rsidRPr="005A6293">
        <w:rPr>
          <w:color w:val="ED7D31" w:themeColor="accent2"/>
        </w:rPr>
        <w:t>n</w:t>
      </w:r>
      <w:r w:rsidR="009E722B" w:rsidRPr="005A6293">
        <w:rPr>
          <w:color w:val="ED7D31" w:themeColor="accent2"/>
        </w:rPr>
        <w:t>. Er is</w:t>
      </w:r>
      <w:r w:rsidR="00362559" w:rsidRPr="005A6293">
        <w:rPr>
          <w:color w:val="ED7D31" w:themeColor="accent2"/>
        </w:rPr>
        <w:t xml:space="preserve"> </w:t>
      </w:r>
      <w:r w:rsidR="009E722B" w:rsidRPr="005A6293">
        <w:rPr>
          <w:color w:val="ED7D31" w:themeColor="accent2"/>
        </w:rPr>
        <w:t>behoefte aan extra middelen (tijd</w:t>
      </w:r>
      <w:r w:rsidR="008D687D" w:rsidRPr="005A6293">
        <w:rPr>
          <w:color w:val="ED7D31" w:themeColor="accent2"/>
        </w:rPr>
        <w:t xml:space="preserve"> en investeringen</w:t>
      </w:r>
      <w:r w:rsidR="00362559" w:rsidRPr="005A6293">
        <w:rPr>
          <w:color w:val="ED7D31" w:themeColor="accent2"/>
        </w:rPr>
        <w:t xml:space="preserve">) </w:t>
      </w:r>
      <w:r w:rsidR="009E722B" w:rsidRPr="005A6293">
        <w:rPr>
          <w:color w:val="ED7D31" w:themeColor="accent2"/>
        </w:rPr>
        <w:t>om dit te realiseren</w:t>
      </w:r>
      <w:r w:rsidR="00321ED8" w:rsidRPr="005A6293">
        <w:rPr>
          <w:color w:val="ED7D31" w:themeColor="accent2"/>
        </w:rPr>
        <w:t xml:space="preserve"> en </w:t>
      </w:r>
      <w:r w:rsidR="00CF7CF0" w:rsidRPr="005A6293">
        <w:rPr>
          <w:color w:val="ED7D31" w:themeColor="accent2"/>
        </w:rPr>
        <w:t xml:space="preserve">verdere </w:t>
      </w:r>
      <w:r w:rsidR="00321ED8" w:rsidRPr="005A6293">
        <w:rPr>
          <w:color w:val="ED7D31" w:themeColor="accent2"/>
        </w:rPr>
        <w:t>CO</w:t>
      </w:r>
      <w:r w:rsidR="00321ED8" w:rsidRPr="005A6293">
        <w:rPr>
          <w:color w:val="ED7D31" w:themeColor="accent2"/>
          <w:vertAlign w:val="subscript"/>
        </w:rPr>
        <w:t>2</w:t>
      </w:r>
      <w:r w:rsidR="00321ED8" w:rsidRPr="005A6293">
        <w:rPr>
          <w:color w:val="ED7D31" w:themeColor="accent2"/>
        </w:rPr>
        <w:t>-reductie te realiseren.</w:t>
      </w:r>
    </w:p>
    <w:p w14:paraId="3DFF96DC" w14:textId="77777777" w:rsidR="00C81930" w:rsidRDefault="00C81930" w:rsidP="00C81930"/>
    <w:p w14:paraId="114B43B3" w14:textId="77777777" w:rsidR="00AC4666" w:rsidRDefault="00AC4666" w:rsidP="00AC4666">
      <w:pPr>
        <w:pStyle w:val="Kop2"/>
      </w:pPr>
      <w:bookmarkStart w:id="27" w:name="_Toc118736204"/>
      <w:bookmarkStart w:id="28" w:name="_Toc142472104"/>
      <w:r w:rsidRPr="0039335A">
        <w:t xml:space="preserve">Status </w:t>
      </w:r>
      <w:r>
        <w:t>van acties</w:t>
      </w:r>
      <w:r w:rsidRPr="0039335A">
        <w:t xml:space="preserve"> uit voorgaande directiebeoordelin</w:t>
      </w:r>
      <w:r>
        <w:t>gen</w:t>
      </w:r>
      <w:bookmarkEnd w:id="27"/>
      <w:bookmarkEnd w:id="28"/>
    </w:p>
    <w:p w14:paraId="0F70F256" w14:textId="77777777" w:rsidR="00AC4666" w:rsidRPr="005A6293" w:rsidRDefault="00AC4666" w:rsidP="00AC4666">
      <w:pPr>
        <w:rPr>
          <w:color w:val="ED7D31" w:themeColor="accent2"/>
        </w:rPr>
      </w:pPr>
      <w:r w:rsidRPr="005A6293">
        <w:rPr>
          <w:color w:val="ED7D31" w:themeColor="accent2"/>
        </w:rPr>
        <w:t>Uit voorgaande directiebeoordelingen zijn de volgende kansen voor verbetering naar voren gekomen:</w:t>
      </w:r>
    </w:p>
    <w:p w14:paraId="268D3E80" w14:textId="580FA258" w:rsidR="00671274" w:rsidRPr="00E60BA3" w:rsidRDefault="00671274" w:rsidP="00671274">
      <w:pPr>
        <w:pStyle w:val="Lijstalinea"/>
        <w:numPr>
          <w:ilvl w:val="0"/>
          <w:numId w:val="35"/>
        </w:numPr>
        <w:jc w:val="left"/>
        <w:rPr>
          <w:color w:val="ED7D31" w:themeColor="accent2"/>
        </w:rPr>
      </w:pPr>
      <w:r w:rsidRPr="00E60BA3">
        <w:rPr>
          <w:color w:val="ED7D31" w:themeColor="accent2"/>
        </w:rPr>
        <w:t xml:space="preserve">De directie heeft besloten dat er komende jaren flink wordt geïnvesteerd om het wagenpark verder te verduurzamen. Ook </w:t>
      </w:r>
      <w:r w:rsidR="00DD0796">
        <w:rPr>
          <w:color w:val="ED7D31" w:themeColor="accent2"/>
        </w:rPr>
        <w:t>is</w:t>
      </w:r>
      <w:r w:rsidRPr="00E60BA3">
        <w:rPr>
          <w:color w:val="ED7D31" w:themeColor="accent2"/>
        </w:rPr>
        <w:t xml:space="preserve"> er een haalbaarheidsonderzoek gedaan naar het elektrificeren van materieel als grondstampers, trilplaten en bandenzagen.</w:t>
      </w:r>
      <w:r w:rsidR="00DD0796">
        <w:rPr>
          <w:color w:val="ED7D31" w:themeColor="accent2"/>
        </w:rPr>
        <w:t xml:space="preserve"> De aankoop daarvan is momenteel financieel onhaalbaar, waar mogelijk en waar geëist worden deze gehuurd van externe firma’s. </w:t>
      </w:r>
    </w:p>
    <w:p w14:paraId="13A36AFA" w14:textId="4C76CA7E" w:rsidR="00671274" w:rsidRPr="005A6293" w:rsidRDefault="00671274" w:rsidP="00671274">
      <w:pPr>
        <w:pStyle w:val="Lijstalinea"/>
        <w:numPr>
          <w:ilvl w:val="0"/>
          <w:numId w:val="35"/>
        </w:numPr>
        <w:jc w:val="left"/>
        <w:rPr>
          <w:color w:val="ED7D31" w:themeColor="accent2"/>
        </w:rPr>
      </w:pPr>
      <w:r w:rsidRPr="005A6293">
        <w:rPr>
          <w:color w:val="ED7D31" w:themeColor="accent2"/>
        </w:rPr>
        <w:lastRenderedPageBreak/>
        <w:t>Daar waar het inkopen van groene stroom niet direct mogelijk is worden er G</w:t>
      </w:r>
      <w:r w:rsidR="00994623" w:rsidRPr="005A6293">
        <w:rPr>
          <w:color w:val="ED7D31" w:themeColor="accent2"/>
        </w:rPr>
        <w:t>v</w:t>
      </w:r>
      <w:r w:rsidRPr="005A6293">
        <w:rPr>
          <w:color w:val="ED7D31" w:themeColor="accent2"/>
        </w:rPr>
        <w:t>O’s ingekocht.</w:t>
      </w:r>
    </w:p>
    <w:p w14:paraId="7F4BAE51" w14:textId="77777777" w:rsidR="00671274" w:rsidRPr="005A6293" w:rsidRDefault="00671274" w:rsidP="00671274">
      <w:pPr>
        <w:pStyle w:val="Lijstalinea"/>
        <w:numPr>
          <w:ilvl w:val="0"/>
          <w:numId w:val="35"/>
        </w:numPr>
        <w:jc w:val="left"/>
        <w:rPr>
          <w:color w:val="ED7D31" w:themeColor="accent2"/>
        </w:rPr>
      </w:pPr>
      <w:r w:rsidRPr="005A6293">
        <w:rPr>
          <w:color w:val="ED7D31" w:themeColor="accent2"/>
        </w:rPr>
        <w:t>Het doen van onderzoek naar het aanleggen van zonnepanelen.</w:t>
      </w:r>
    </w:p>
    <w:p w14:paraId="156B4DCB" w14:textId="77777777" w:rsidR="00671274" w:rsidRPr="005A6293" w:rsidRDefault="00671274" w:rsidP="00671274">
      <w:pPr>
        <w:pStyle w:val="Lijstalinea"/>
        <w:numPr>
          <w:ilvl w:val="0"/>
          <w:numId w:val="35"/>
        </w:numPr>
        <w:jc w:val="left"/>
        <w:rPr>
          <w:color w:val="ED7D31" w:themeColor="accent2"/>
        </w:rPr>
      </w:pPr>
      <w:r w:rsidRPr="005A6293">
        <w:rPr>
          <w:color w:val="ED7D31" w:themeColor="accent2"/>
        </w:rPr>
        <w:t>Het regionaal blijven selecteren van onderaannemers.</w:t>
      </w:r>
    </w:p>
    <w:p w14:paraId="1D4A3628" w14:textId="77777777" w:rsidR="00671274" w:rsidRPr="005A6293" w:rsidRDefault="00671274" w:rsidP="00671274">
      <w:pPr>
        <w:jc w:val="left"/>
        <w:rPr>
          <w:color w:val="ED7D31" w:themeColor="accent2"/>
        </w:rPr>
      </w:pPr>
    </w:p>
    <w:p w14:paraId="5FE4CC77" w14:textId="77777777" w:rsidR="00AC4666" w:rsidRPr="005A6293" w:rsidRDefault="00AC4666" w:rsidP="00AC4666">
      <w:pPr>
        <w:rPr>
          <w:color w:val="ED7D31" w:themeColor="accent2"/>
        </w:rPr>
      </w:pPr>
      <w:r w:rsidRPr="005A6293">
        <w:rPr>
          <w:color w:val="ED7D31" w:themeColor="accent2"/>
        </w:rPr>
        <w:t>In het afgelopen jaar zijn de volgende acties hierop genomen:</w:t>
      </w:r>
    </w:p>
    <w:p w14:paraId="13A0E390" w14:textId="77777777" w:rsidR="001E4A45" w:rsidRPr="005A6293" w:rsidRDefault="001E4A45" w:rsidP="001E4A45">
      <w:pPr>
        <w:pStyle w:val="Lijstalinea"/>
        <w:numPr>
          <w:ilvl w:val="0"/>
          <w:numId w:val="20"/>
        </w:numPr>
        <w:rPr>
          <w:color w:val="ED7D31" w:themeColor="accent2"/>
        </w:rPr>
      </w:pPr>
      <w:r w:rsidRPr="005A6293">
        <w:rPr>
          <w:color w:val="ED7D31" w:themeColor="accent2"/>
        </w:rPr>
        <w:t>Het elektrificeren van het wagenpark is doorgezet. Dit geldt ook voor de elektrificatie van het handmaterieel. Enkele resultaten zijn terug te vinden in de energiebeoordeling. Kanttekening is wel dat de organisatie wegens eerder besproken tegenvallers deels pas op de plaats heeft moeten maken en niet alle ambities in de gewenste mate zijn gehaald.</w:t>
      </w:r>
    </w:p>
    <w:p w14:paraId="1E46D02D" w14:textId="2B16ECBB" w:rsidR="001E4A45" w:rsidRPr="005A6293" w:rsidRDefault="001E4A45" w:rsidP="001E4A45">
      <w:pPr>
        <w:pStyle w:val="Lijstalinea"/>
        <w:numPr>
          <w:ilvl w:val="0"/>
          <w:numId w:val="20"/>
        </w:numPr>
        <w:rPr>
          <w:color w:val="ED7D31" w:themeColor="accent2"/>
        </w:rPr>
      </w:pPr>
      <w:r w:rsidRPr="005A6293">
        <w:rPr>
          <w:color w:val="ED7D31" w:themeColor="accent2"/>
        </w:rPr>
        <w:t xml:space="preserve">Het inkopen van GvO’s heeft plaatsgevonden voor </w:t>
      </w:r>
      <w:r w:rsidR="00C86862" w:rsidRPr="005A6293">
        <w:rPr>
          <w:color w:val="ED7D31" w:themeColor="accent2"/>
        </w:rPr>
        <w:t xml:space="preserve">de locaties in Groningen, </w:t>
      </w:r>
      <w:r w:rsidRPr="005A6293">
        <w:rPr>
          <w:color w:val="ED7D31" w:themeColor="accent2"/>
        </w:rPr>
        <w:t>Alblasserdam</w:t>
      </w:r>
      <w:r w:rsidR="00C86862" w:rsidRPr="005A6293">
        <w:rPr>
          <w:color w:val="ED7D31" w:themeColor="accent2"/>
        </w:rPr>
        <w:t xml:space="preserve"> en Delft</w:t>
      </w:r>
      <w:r w:rsidRPr="005A6293">
        <w:rPr>
          <w:color w:val="ED7D31" w:themeColor="accent2"/>
        </w:rPr>
        <w:t xml:space="preserve"> in het afgelopen jaar.</w:t>
      </w:r>
    </w:p>
    <w:p w14:paraId="1DACFF0E" w14:textId="34CBD1B3" w:rsidR="001E4A45" w:rsidRPr="00DD0796" w:rsidRDefault="001E4A45" w:rsidP="001E4A45">
      <w:pPr>
        <w:pStyle w:val="Lijstalinea"/>
        <w:numPr>
          <w:ilvl w:val="0"/>
          <w:numId w:val="20"/>
        </w:numPr>
        <w:rPr>
          <w:color w:val="ED7D31" w:themeColor="accent2"/>
        </w:rPr>
      </w:pPr>
      <w:r w:rsidRPr="00DD0796">
        <w:rPr>
          <w:color w:val="ED7D31" w:themeColor="accent2"/>
        </w:rPr>
        <w:t xml:space="preserve">Er is onderzoek gedaan naar zonnepanelen in Alblasserdam, maar </w:t>
      </w:r>
      <w:r w:rsidR="00682A85" w:rsidRPr="00DD0796">
        <w:rPr>
          <w:color w:val="ED7D31" w:themeColor="accent2"/>
        </w:rPr>
        <w:t>dit bleek niet haalbaar</w:t>
      </w:r>
      <w:r w:rsidRPr="00DD0796">
        <w:rPr>
          <w:color w:val="ED7D31" w:themeColor="accent2"/>
        </w:rPr>
        <w:t>.</w:t>
      </w:r>
      <w:r w:rsidR="0022505E" w:rsidRPr="00DD0796">
        <w:rPr>
          <w:color w:val="ED7D31" w:themeColor="accent2"/>
        </w:rPr>
        <w:t xml:space="preserve"> Er zal jaarlijks opnieuw </w:t>
      </w:r>
      <w:r w:rsidR="00DE19AB" w:rsidRPr="00DD0796">
        <w:rPr>
          <w:color w:val="ED7D31" w:themeColor="accent2"/>
        </w:rPr>
        <w:t xml:space="preserve">met de verhuurders van </w:t>
      </w:r>
      <w:r w:rsidR="00682A85" w:rsidRPr="00DD0796">
        <w:rPr>
          <w:color w:val="ED7D31" w:themeColor="accent2"/>
        </w:rPr>
        <w:t>de</w:t>
      </w:r>
      <w:r w:rsidR="00DE19AB" w:rsidRPr="00DD0796">
        <w:rPr>
          <w:color w:val="ED7D31" w:themeColor="accent2"/>
        </w:rPr>
        <w:t xml:space="preserve"> panden gekeken moeten worden</w:t>
      </w:r>
      <w:r w:rsidR="001400DD" w:rsidRPr="00DD0796">
        <w:rPr>
          <w:color w:val="ED7D31" w:themeColor="accent2"/>
        </w:rPr>
        <w:t xml:space="preserve"> </w:t>
      </w:r>
      <w:r w:rsidR="006513ED" w:rsidRPr="00DD0796">
        <w:rPr>
          <w:color w:val="ED7D31" w:themeColor="accent2"/>
        </w:rPr>
        <w:t xml:space="preserve">naar de haalbaarheid </w:t>
      </w:r>
      <w:r w:rsidR="00682A85" w:rsidRPr="00DD0796">
        <w:rPr>
          <w:color w:val="ED7D31" w:themeColor="accent2"/>
        </w:rPr>
        <w:t xml:space="preserve">van het plaatsen van zonnepanelen. </w:t>
      </w:r>
    </w:p>
    <w:p w14:paraId="69264046" w14:textId="50C7FF4F" w:rsidR="00AC4666" w:rsidRPr="005A6293" w:rsidRDefault="001E4A45" w:rsidP="00AC4666">
      <w:pPr>
        <w:pStyle w:val="Lijstalinea"/>
        <w:numPr>
          <w:ilvl w:val="0"/>
          <w:numId w:val="20"/>
        </w:numPr>
        <w:rPr>
          <w:color w:val="ED7D31" w:themeColor="accent2"/>
        </w:rPr>
      </w:pPr>
      <w:r w:rsidRPr="005A6293">
        <w:rPr>
          <w:color w:val="ED7D31" w:themeColor="accent2"/>
        </w:rPr>
        <w:t>Onderaannemers worden doorlopend regionaal geselecteerd.</w:t>
      </w:r>
    </w:p>
    <w:p w14:paraId="7B7CB5D6" w14:textId="77777777" w:rsidR="00AC4666" w:rsidRDefault="00AC4666" w:rsidP="00AC4666"/>
    <w:p w14:paraId="7A58CEF8" w14:textId="77777777" w:rsidR="00AC4666" w:rsidRDefault="00AC4666" w:rsidP="00AC4666">
      <w:pPr>
        <w:pStyle w:val="Kop2"/>
      </w:pPr>
      <w:bookmarkStart w:id="29" w:name="_Toc118736205"/>
      <w:bookmarkStart w:id="30" w:name="_Toc142472105"/>
      <w:r>
        <w:t>Bevindingen uit de interne audit</w:t>
      </w:r>
      <w:bookmarkEnd w:id="29"/>
      <w:bookmarkEnd w:id="30"/>
    </w:p>
    <w:p w14:paraId="3C090697" w14:textId="67F20867" w:rsidR="00AC4666" w:rsidRPr="005A6293" w:rsidRDefault="00AC4666" w:rsidP="00AC4666">
      <w:pPr>
        <w:rPr>
          <w:color w:val="ED7D31" w:themeColor="accent2"/>
        </w:rPr>
      </w:pPr>
      <w:r w:rsidRPr="005A6293">
        <w:rPr>
          <w:color w:val="ED7D31" w:themeColor="accent2"/>
        </w:rPr>
        <w:t xml:space="preserve">De interne audit is uitgevoerd op </w:t>
      </w:r>
      <w:r w:rsidR="00A715E7" w:rsidRPr="005A6293">
        <w:rPr>
          <w:color w:val="ED7D31" w:themeColor="accent2"/>
        </w:rPr>
        <w:t>22</w:t>
      </w:r>
      <w:r w:rsidRPr="005A6293">
        <w:rPr>
          <w:color w:val="ED7D31" w:themeColor="accent2"/>
        </w:rPr>
        <w:t>-</w:t>
      </w:r>
      <w:r w:rsidR="00A715E7" w:rsidRPr="005A6293">
        <w:rPr>
          <w:color w:val="ED7D31" w:themeColor="accent2"/>
        </w:rPr>
        <w:t>04</w:t>
      </w:r>
      <w:r w:rsidRPr="005A6293">
        <w:rPr>
          <w:color w:val="ED7D31" w:themeColor="accent2"/>
        </w:rPr>
        <w:t>-</w:t>
      </w:r>
      <w:r w:rsidR="00A715E7" w:rsidRPr="005A6293">
        <w:rPr>
          <w:color w:val="ED7D31" w:themeColor="accent2"/>
        </w:rPr>
        <w:t>2024</w:t>
      </w:r>
      <w:r w:rsidRPr="005A6293">
        <w:rPr>
          <w:color w:val="ED7D31" w:themeColor="accent2"/>
        </w:rPr>
        <w:t xml:space="preserve"> door </w:t>
      </w:r>
      <w:r w:rsidR="002C478A" w:rsidRPr="005A6293">
        <w:rPr>
          <w:color w:val="ED7D31" w:themeColor="accent2"/>
        </w:rPr>
        <w:t>M. de Soet</w:t>
      </w:r>
      <w:r w:rsidRPr="005A6293">
        <w:rPr>
          <w:color w:val="ED7D31" w:themeColor="accent2"/>
        </w:rPr>
        <w:t xml:space="preserve">, werkzaam bij De Duurzame Adviseurs. De auditee was </w:t>
      </w:r>
      <w:r w:rsidR="00A715E7" w:rsidRPr="005A6293">
        <w:rPr>
          <w:color w:val="ED7D31" w:themeColor="accent2"/>
        </w:rPr>
        <w:t>T. van Roessel</w:t>
      </w:r>
      <w:r w:rsidRPr="005A6293">
        <w:rPr>
          <w:color w:val="ED7D31" w:themeColor="accent2"/>
        </w:rPr>
        <w:t>. Hieruit kwamen de volgende bevindingen:</w:t>
      </w:r>
    </w:p>
    <w:p w14:paraId="414EAA7E" w14:textId="532CF110" w:rsidR="00AC4666" w:rsidRPr="005A6293" w:rsidRDefault="00B42D7A" w:rsidP="00AC4666">
      <w:pPr>
        <w:pStyle w:val="Lijstalinea"/>
        <w:numPr>
          <w:ilvl w:val="0"/>
          <w:numId w:val="20"/>
        </w:numPr>
        <w:rPr>
          <w:color w:val="ED7D31" w:themeColor="accent2"/>
        </w:rPr>
      </w:pPr>
      <w:r w:rsidRPr="005A6293">
        <w:rPr>
          <w:color w:val="ED7D31" w:themeColor="accent2"/>
        </w:rPr>
        <w:t xml:space="preserve">3.A.2. </w:t>
      </w:r>
      <w:r w:rsidR="00762C22" w:rsidRPr="005A6293">
        <w:rPr>
          <w:color w:val="ED7D31" w:themeColor="accent2"/>
        </w:rPr>
        <w:t>De emissie-inventaris laten verifiëren door CI tijdens externe audit.</w:t>
      </w:r>
    </w:p>
    <w:p w14:paraId="01EF833C" w14:textId="5A853FC3" w:rsidR="00AC4666" w:rsidRPr="005A6293" w:rsidRDefault="00B42D7A" w:rsidP="00AC4666">
      <w:pPr>
        <w:pStyle w:val="Lijstalinea"/>
        <w:numPr>
          <w:ilvl w:val="0"/>
          <w:numId w:val="20"/>
        </w:numPr>
        <w:rPr>
          <w:color w:val="ED7D31" w:themeColor="accent2"/>
        </w:rPr>
      </w:pPr>
      <w:r w:rsidRPr="005A6293">
        <w:rPr>
          <w:color w:val="ED7D31" w:themeColor="accent2"/>
        </w:rPr>
        <w:t>4.A.1. Het lijkt erop alsof de scope 3 categorie 'leeg' niet is meegenomen</w:t>
      </w:r>
      <w:r w:rsidR="00FC2741" w:rsidRPr="005A6293">
        <w:rPr>
          <w:color w:val="ED7D31" w:themeColor="accent2"/>
        </w:rPr>
        <w:t>.</w:t>
      </w:r>
    </w:p>
    <w:p w14:paraId="2DF76675" w14:textId="67ADA19D" w:rsidR="00FC2741" w:rsidRPr="005A6293" w:rsidRDefault="00FC2741" w:rsidP="00AC4666">
      <w:pPr>
        <w:pStyle w:val="Lijstalinea"/>
        <w:numPr>
          <w:ilvl w:val="0"/>
          <w:numId w:val="20"/>
        </w:numPr>
        <w:rPr>
          <w:color w:val="ED7D31" w:themeColor="accent2"/>
        </w:rPr>
      </w:pPr>
      <w:r w:rsidRPr="005A6293">
        <w:rPr>
          <w:color w:val="ED7D31" w:themeColor="accent2"/>
        </w:rPr>
        <w:t>1.B.1. Plan van aanpak zoals getoond met schermdelen tijdens het interview komt niet overeen met het voor de interne audit opgeleverde dossier.</w:t>
      </w:r>
    </w:p>
    <w:p w14:paraId="194D8D11" w14:textId="7F0A3EC9" w:rsidR="00FC2741" w:rsidRPr="005A6293" w:rsidRDefault="007458C8" w:rsidP="00AC4666">
      <w:pPr>
        <w:pStyle w:val="Lijstalinea"/>
        <w:numPr>
          <w:ilvl w:val="0"/>
          <w:numId w:val="20"/>
        </w:numPr>
        <w:rPr>
          <w:color w:val="ED7D31" w:themeColor="accent2"/>
        </w:rPr>
      </w:pPr>
      <w:r w:rsidRPr="005A6293">
        <w:rPr>
          <w:color w:val="ED7D31" w:themeColor="accent2"/>
        </w:rPr>
        <w:t>2.B.1. Aanscherpen doelstelling en passend referentiejaar kiezen.</w:t>
      </w:r>
    </w:p>
    <w:p w14:paraId="7238814B" w14:textId="6C2E595B" w:rsidR="007458C8" w:rsidRPr="005A6293" w:rsidRDefault="007458C8" w:rsidP="00AC4666">
      <w:pPr>
        <w:pStyle w:val="Lijstalinea"/>
        <w:numPr>
          <w:ilvl w:val="0"/>
          <w:numId w:val="20"/>
        </w:numPr>
        <w:rPr>
          <w:color w:val="ED7D31" w:themeColor="accent2"/>
        </w:rPr>
      </w:pPr>
      <w:r w:rsidRPr="005A6293">
        <w:rPr>
          <w:color w:val="ED7D31" w:themeColor="accent2"/>
        </w:rPr>
        <w:t xml:space="preserve">2.B.3. </w:t>
      </w:r>
      <w:r w:rsidR="00A84FB0" w:rsidRPr="005A6293">
        <w:rPr>
          <w:color w:val="ED7D31" w:themeColor="accent2"/>
        </w:rPr>
        <w:t>Nieuwe doelstellingen nog communiceren aan medewerkers.</w:t>
      </w:r>
    </w:p>
    <w:p w14:paraId="471685F9" w14:textId="459873FF" w:rsidR="00033FBE" w:rsidRPr="005A6293" w:rsidRDefault="00A84FB0" w:rsidP="00033FBE">
      <w:pPr>
        <w:pStyle w:val="Lijstalinea"/>
        <w:numPr>
          <w:ilvl w:val="0"/>
          <w:numId w:val="20"/>
        </w:numPr>
        <w:rPr>
          <w:color w:val="ED7D31" w:themeColor="accent2"/>
        </w:rPr>
      </w:pPr>
      <w:r w:rsidRPr="005A6293">
        <w:rPr>
          <w:color w:val="ED7D31" w:themeColor="accent2"/>
        </w:rPr>
        <w:t>2.B.4. Directiebeoordeling dient nog uitgevoerd te worden.</w:t>
      </w:r>
    </w:p>
    <w:p w14:paraId="117C9FC9" w14:textId="77777777" w:rsidR="00982C07" w:rsidRPr="005A6293" w:rsidRDefault="00982C07" w:rsidP="00982C07">
      <w:pPr>
        <w:ind w:left="360"/>
        <w:rPr>
          <w:color w:val="ED7D31" w:themeColor="accent2"/>
        </w:rPr>
      </w:pPr>
    </w:p>
    <w:p w14:paraId="7F30F1D7" w14:textId="60078673" w:rsidR="00033FBE" w:rsidRPr="005A6293" w:rsidRDefault="00033FBE" w:rsidP="00033FBE">
      <w:pPr>
        <w:rPr>
          <w:color w:val="ED7D31" w:themeColor="accent2"/>
        </w:rPr>
      </w:pPr>
      <w:r w:rsidRPr="005A6293">
        <w:rPr>
          <w:color w:val="ED7D31" w:themeColor="accent2"/>
        </w:rPr>
        <w:t xml:space="preserve">Tips: </w:t>
      </w:r>
    </w:p>
    <w:p w14:paraId="59EF571B" w14:textId="69CB2BE7" w:rsidR="00033FBE" w:rsidRPr="005A6293" w:rsidRDefault="00033FBE" w:rsidP="00694219">
      <w:pPr>
        <w:pStyle w:val="Lijstalinea"/>
        <w:numPr>
          <w:ilvl w:val="0"/>
          <w:numId w:val="40"/>
        </w:numPr>
        <w:rPr>
          <w:color w:val="ED7D31" w:themeColor="accent2"/>
        </w:rPr>
      </w:pPr>
      <w:r w:rsidRPr="005A6293">
        <w:rPr>
          <w:color w:val="ED7D31" w:themeColor="accent2"/>
        </w:rPr>
        <w:t xml:space="preserve">Een aantal meterstanden komen niet helemaal overeen met de werkelijkheid. Bij Leeuwarden is opgenomen van 20-1 -23 </w:t>
      </w:r>
      <w:r w:rsidR="00D3190F">
        <w:rPr>
          <w:color w:val="ED7D31" w:themeColor="accent2"/>
        </w:rPr>
        <w:t>–</w:t>
      </w:r>
      <w:r w:rsidRPr="005A6293">
        <w:rPr>
          <w:color w:val="ED7D31" w:themeColor="accent2"/>
        </w:rPr>
        <w:t xml:space="preserve"> t</w:t>
      </w:r>
      <w:r w:rsidR="00D3190F">
        <w:rPr>
          <w:color w:val="ED7D31" w:themeColor="accent2"/>
        </w:rPr>
        <w:t>/</w:t>
      </w:r>
      <w:r w:rsidRPr="005A6293">
        <w:rPr>
          <w:color w:val="ED7D31" w:themeColor="accent2"/>
        </w:rPr>
        <w:t>m 5-1-24. Dan mis je een twee weken. Neem dit of op bij onzekerheden of reken dit door naar een vol jaar.</w:t>
      </w:r>
    </w:p>
    <w:p w14:paraId="746753B8" w14:textId="75D5B656" w:rsidR="00033FBE" w:rsidRPr="005A6293" w:rsidRDefault="00694219" w:rsidP="00694219">
      <w:pPr>
        <w:pStyle w:val="Lijstalinea"/>
        <w:numPr>
          <w:ilvl w:val="0"/>
          <w:numId w:val="40"/>
        </w:numPr>
        <w:rPr>
          <w:color w:val="ED7D31" w:themeColor="accent2"/>
        </w:rPr>
      </w:pPr>
      <w:r w:rsidRPr="005A6293">
        <w:rPr>
          <w:color w:val="ED7D31" w:themeColor="accent2"/>
        </w:rPr>
        <w:t>Er lijkt een verbeterslag door te zijn gevoerd bij de scope 3 data inzake afval. Dit lijkt niet verwerkt te zijn in het CO2 verslag. Dat biedt nog een kans.</w:t>
      </w:r>
    </w:p>
    <w:p w14:paraId="5C8A5802" w14:textId="77777777" w:rsidR="00AC4666" w:rsidRPr="005A6293" w:rsidRDefault="00AC4666" w:rsidP="00AC4666">
      <w:pPr>
        <w:rPr>
          <w:color w:val="ED7D31" w:themeColor="accent2"/>
        </w:rPr>
      </w:pPr>
    </w:p>
    <w:p w14:paraId="425F1BF2" w14:textId="77777777" w:rsidR="00AC4666" w:rsidRPr="005A6293" w:rsidRDefault="00AC4666" w:rsidP="00AC4666">
      <w:pPr>
        <w:rPr>
          <w:color w:val="ED7D31" w:themeColor="accent2"/>
        </w:rPr>
      </w:pPr>
      <w:r w:rsidRPr="005A6293">
        <w:rPr>
          <w:color w:val="ED7D31" w:themeColor="accent2"/>
        </w:rPr>
        <w:t>Deze punten zijn inmiddels conform vereisten uitgevoerd. De verificatie van de</w:t>
      </w:r>
      <w:r w:rsidR="008E38D0" w:rsidRPr="005A6293">
        <w:rPr>
          <w:color w:val="ED7D31" w:themeColor="accent2"/>
        </w:rPr>
        <w:t xml:space="preserve"> CO</w:t>
      </w:r>
      <w:r w:rsidR="008E38D0" w:rsidRPr="005A6293">
        <w:rPr>
          <w:color w:val="ED7D31" w:themeColor="accent2"/>
          <w:vertAlign w:val="subscript"/>
        </w:rPr>
        <w:t>2</w:t>
      </w:r>
      <w:r w:rsidRPr="005A6293">
        <w:rPr>
          <w:color w:val="ED7D31" w:themeColor="accent2"/>
        </w:rPr>
        <w:t xml:space="preserve">-emissie-inventaris zal plaatsvinden tijdens de externe audit. </w:t>
      </w:r>
    </w:p>
    <w:p w14:paraId="55BFEDE0" w14:textId="77777777" w:rsidR="00AC4666" w:rsidRPr="00313424" w:rsidRDefault="00AC4666" w:rsidP="00AC4666"/>
    <w:p w14:paraId="3F1597D8" w14:textId="77777777" w:rsidR="00AC4666" w:rsidRDefault="00AC4666" w:rsidP="00AC4666">
      <w:pPr>
        <w:pStyle w:val="Kop2"/>
      </w:pPr>
      <w:bookmarkStart w:id="31" w:name="_Toc118736206"/>
      <w:bookmarkStart w:id="32" w:name="_Toc142472106"/>
      <w:r>
        <w:t>Bevindingen uit voorgaande externe audits</w:t>
      </w:r>
      <w:bookmarkEnd w:id="31"/>
      <w:bookmarkEnd w:id="32"/>
    </w:p>
    <w:p w14:paraId="3A6F21C5" w14:textId="33F2B683" w:rsidR="00AC4666" w:rsidRPr="00CC000F" w:rsidRDefault="00AC4666" w:rsidP="00AC4666">
      <w:pPr>
        <w:rPr>
          <w:color w:val="ED7D31" w:themeColor="accent2"/>
        </w:rPr>
      </w:pPr>
      <w:r w:rsidRPr="00CC000F">
        <w:rPr>
          <w:color w:val="ED7D31" w:themeColor="accent2"/>
        </w:rPr>
        <w:t>Uit voorgaande externe audits zijn de volgende aandachtspunten naar voren gekomen:</w:t>
      </w:r>
    </w:p>
    <w:p w14:paraId="546F5669" w14:textId="6A721C30" w:rsidR="00AC4666" w:rsidRPr="00CC000F" w:rsidRDefault="00073B94" w:rsidP="00AC4666">
      <w:pPr>
        <w:pStyle w:val="Lijstalinea"/>
        <w:numPr>
          <w:ilvl w:val="0"/>
          <w:numId w:val="20"/>
        </w:numPr>
        <w:rPr>
          <w:color w:val="ED7D31" w:themeColor="accent2"/>
        </w:rPr>
      </w:pPr>
      <w:r w:rsidRPr="00CC000F">
        <w:rPr>
          <w:color w:val="ED7D31" w:themeColor="accent2"/>
        </w:rPr>
        <w:t xml:space="preserve">De ketenanalyse richt zich </w:t>
      </w:r>
      <w:r w:rsidR="005A42E6" w:rsidRPr="00CC000F">
        <w:rPr>
          <w:color w:val="ED7D31" w:themeColor="accent2"/>
        </w:rPr>
        <w:t xml:space="preserve">volledig op categorie 11 van de scope 3 terwijl aantoonbaar meerdere categorieën uitstoot van toepassing zijn. </w:t>
      </w:r>
    </w:p>
    <w:p w14:paraId="7B5D51B9" w14:textId="77777777" w:rsidR="00F779DE" w:rsidRPr="00CC000F" w:rsidRDefault="00F779DE" w:rsidP="00F779DE">
      <w:pPr>
        <w:ind w:left="360"/>
        <w:rPr>
          <w:color w:val="ED7D31" w:themeColor="accent2"/>
        </w:rPr>
      </w:pPr>
    </w:p>
    <w:p w14:paraId="7E6A3968" w14:textId="77777777" w:rsidR="00AC4666" w:rsidRPr="00CC000F" w:rsidRDefault="00AC4666" w:rsidP="00AC4666">
      <w:pPr>
        <w:rPr>
          <w:color w:val="ED7D31" w:themeColor="accent2"/>
        </w:rPr>
      </w:pPr>
      <w:r w:rsidRPr="00CC000F">
        <w:rPr>
          <w:color w:val="ED7D31" w:themeColor="accent2"/>
        </w:rPr>
        <w:t>In het afgelopen jaar zijn de volgende corrigerende maatregelen hierop genomen:</w:t>
      </w:r>
    </w:p>
    <w:p w14:paraId="543472CE" w14:textId="60A27C2B" w:rsidR="00B6083A" w:rsidRPr="00CC000F" w:rsidRDefault="00FF5FC3" w:rsidP="00B6083A">
      <w:pPr>
        <w:pStyle w:val="Lijstalinea"/>
        <w:numPr>
          <w:ilvl w:val="0"/>
          <w:numId w:val="20"/>
        </w:numPr>
        <w:rPr>
          <w:color w:val="ED7D31" w:themeColor="accent2"/>
        </w:rPr>
      </w:pPr>
      <w:r w:rsidRPr="00CC000F">
        <w:rPr>
          <w:color w:val="ED7D31" w:themeColor="accent2"/>
        </w:rPr>
        <w:t xml:space="preserve">De ketenanalyse is uitgebreid naar meerdere scope 3 categorieën. Tevens is de organisatie na gaan denken over de relevantie van dit onderwerp in relatie tot de strategische keuzes van de nieuwe directie. </w:t>
      </w:r>
      <w:r w:rsidR="005A327C" w:rsidRPr="00CC000F">
        <w:rPr>
          <w:color w:val="ED7D31" w:themeColor="accent2"/>
        </w:rPr>
        <w:t>Het onderwerp van de ketenanalyse heeft zijn relevantie verloren omdat CityTec de strategische keuze heeft gemaakt om minder op DC-projecten in te zetten. Om de Niveau 5 ambitie te blijven realiseren is er een nieuwe ketenanalyse opgesteld.</w:t>
      </w:r>
    </w:p>
    <w:p w14:paraId="29FFDD68" w14:textId="77777777" w:rsidR="005A327C" w:rsidRDefault="005A327C" w:rsidP="005A327C"/>
    <w:p w14:paraId="79F739FA" w14:textId="77777777" w:rsidR="00C81930" w:rsidRPr="00C81930" w:rsidRDefault="00C81930" w:rsidP="00C81930">
      <w:pPr>
        <w:pStyle w:val="Kop2"/>
      </w:pPr>
      <w:bookmarkStart w:id="33" w:name="_Toc118736219"/>
      <w:bookmarkStart w:id="34" w:name="_Toc142472107"/>
      <w:r>
        <w:t>Kansen voor verbetering</w:t>
      </w:r>
      <w:bookmarkEnd w:id="33"/>
      <w:bookmarkEnd w:id="34"/>
    </w:p>
    <w:p w14:paraId="1C782236" w14:textId="0E215281" w:rsidR="003B345A" w:rsidRPr="00CC000F" w:rsidRDefault="003B345A" w:rsidP="003B345A">
      <w:pPr>
        <w:rPr>
          <w:color w:val="ED7D31" w:themeColor="accent2"/>
        </w:rPr>
      </w:pPr>
      <w:r w:rsidRPr="00CC000F">
        <w:rPr>
          <w:color w:val="ED7D31" w:themeColor="accent2"/>
        </w:rPr>
        <w:t>Naar aanleiding van deze evaluatie zijn er kansen voor verbetering geïdentificeerd. Deze leiden tot de volgende acties voor komend jaar:</w:t>
      </w:r>
    </w:p>
    <w:p w14:paraId="01C147B8" w14:textId="77777777" w:rsidR="00AF105E" w:rsidRPr="00CC000F" w:rsidRDefault="00AF105E" w:rsidP="00AF105E">
      <w:pPr>
        <w:pStyle w:val="Lijstalinea"/>
        <w:numPr>
          <w:ilvl w:val="0"/>
          <w:numId w:val="32"/>
        </w:numPr>
        <w:rPr>
          <w:color w:val="ED7D31" w:themeColor="accent2"/>
        </w:rPr>
      </w:pPr>
      <w:r w:rsidRPr="00CC000F">
        <w:rPr>
          <w:color w:val="ED7D31" w:themeColor="accent2"/>
        </w:rPr>
        <w:t>De CO</w:t>
      </w:r>
      <w:r w:rsidRPr="00CC000F">
        <w:rPr>
          <w:color w:val="ED7D31" w:themeColor="accent2"/>
          <w:vertAlign w:val="subscript"/>
        </w:rPr>
        <w:t>2</w:t>
      </w:r>
      <w:r w:rsidRPr="00CC000F">
        <w:rPr>
          <w:color w:val="ED7D31" w:themeColor="accent2"/>
        </w:rPr>
        <w:t>-prestatieladder moet breder door de organisatie worden gedragen, op dit moment is de instandhouding te veel afhankelijk van één persoon.</w:t>
      </w:r>
    </w:p>
    <w:p w14:paraId="6EE91224" w14:textId="77777777" w:rsidR="00AF105E" w:rsidRPr="00CC000F" w:rsidRDefault="00AF105E" w:rsidP="00AF105E">
      <w:pPr>
        <w:pStyle w:val="Lijstalinea"/>
        <w:numPr>
          <w:ilvl w:val="0"/>
          <w:numId w:val="32"/>
        </w:numPr>
        <w:rPr>
          <w:color w:val="ED7D31" w:themeColor="accent2"/>
        </w:rPr>
      </w:pPr>
      <w:r w:rsidRPr="00CC000F">
        <w:rPr>
          <w:color w:val="ED7D31" w:themeColor="accent2"/>
        </w:rPr>
        <w:t>De projectdossiers van de projecten met gunningsvoordeel zullen uitgebreider met de opdrachtgevers worden gecommuniceerd en afgestemd. Te veel is dit momenteel nog een dossier van CityTec, zonder actieve betrokkenheid van de opdrachtgever.</w:t>
      </w:r>
    </w:p>
    <w:p w14:paraId="3FD1540F" w14:textId="0D8E5966" w:rsidR="00AF105E" w:rsidRPr="00CC000F" w:rsidRDefault="00AF105E" w:rsidP="00AF105E">
      <w:pPr>
        <w:pStyle w:val="Lijstalinea"/>
        <w:numPr>
          <w:ilvl w:val="0"/>
          <w:numId w:val="32"/>
        </w:numPr>
        <w:rPr>
          <w:color w:val="ED7D31" w:themeColor="accent2"/>
        </w:rPr>
      </w:pPr>
      <w:r w:rsidRPr="00CC000F">
        <w:rPr>
          <w:color w:val="ED7D31" w:themeColor="accent2"/>
        </w:rPr>
        <w:lastRenderedPageBreak/>
        <w:t xml:space="preserve">We blijven ons inzetten om de panden te </w:t>
      </w:r>
      <w:r w:rsidR="0066174C" w:rsidRPr="00CC000F">
        <w:rPr>
          <w:color w:val="ED7D31" w:themeColor="accent2"/>
        </w:rPr>
        <w:t xml:space="preserve">verduurzamen </w:t>
      </w:r>
      <w:r w:rsidRPr="00CC000F">
        <w:rPr>
          <w:color w:val="ED7D31" w:themeColor="accent2"/>
        </w:rPr>
        <w:t>door</w:t>
      </w:r>
      <w:r w:rsidR="006F19CB" w:rsidRPr="00CC000F">
        <w:rPr>
          <w:color w:val="ED7D31" w:themeColor="accent2"/>
        </w:rPr>
        <w:t>, waar mogelijk,</w:t>
      </w:r>
      <w:r w:rsidRPr="00CC000F">
        <w:rPr>
          <w:color w:val="ED7D31" w:themeColor="accent2"/>
        </w:rPr>
        <w:t xml:space="preserve"> met de verhuurders afspraken te maken over plaatsing zonnepanelen en terugdringen gasverbruik.</w:t>
      </w:r>
    </w:p>
    <w:p w14:paraId="27CFBD28" w14:textId="77777777" w:rsidR="00512C27" w:rsidRDefault="00512C27" w:rsidP="00512C27">
      <w:pPr>
        <w:rPr>
          <w:color w:val="ED7D31" w:themeColor="accent2"/>
        </w:rPr>
      </w:pPr>
    </w:p>
    <w:p w14:paraId="67987455" w14:textId="77777777" w:rsidR="00512C27" w:rsidRDefault="00512C27" w:rsidP="00512C27">
      <w:pPr>
        <w:pStyle w:val="Kop2"/>
      </w:pPr>
      <w:bookmarkStart w:id="35" w:name="_Toc118736220"/>
      <w:bookmarkStart w:id="36" w:name="_Toc142472108"/>
      <w:r>
        <w:t>Output van de directie</w:t>
      </w:r>
      <w:bookmarkEnd w:id="35"/>
      <w:bookmarkEnd w:id="36"/>
    </w:p>
    <w:p w14:paraId="1DD7A7EF" w14:textId="6FF8D90F" w:rsidR="00462757" w:rsidRPr="00CC000F" w:rsidRDefault="00462757" w:rsidP="00462757">
      <w:pPr>
        <w:jc w:val="left"/>
        <w:rPr>
          <w:color w:val="ED7D31" w:themeColor="accent2"/>
        </w:rPr>
      </w:pPr>
      <w:r w:rsidRPr="00CC000F">
        <w:rPr>
          <w:color w:val="ED7D31" w:themeColor="accent2"/>
          <w:sz w:val="20"/>
          <w:szCs w:val="20"/>
        </w:rPr>
        <w:t xml:space="preserve">De directie onderschrijft dat de onder 2.7 (kansen voor verbetering) genoemde punten en al verschillende acties zijn in gang gezet. Zo is er een vacature voor het uitbreiden van de capaciteit bij de afdeling KVM. De regioleiders worden verantwoordelijk voor de </w:t>
      </w:r>
      <w:r w:rsidRPr="00CC000F">
        <w:rPr>
          <w:color w:val="ED7D31" w:themeColor="accent2"/>
        </w:rPr>
        <w:t>projectdossiers van de projecten met gunningsvoordeel en zij zullen uitgebreid de projectdossiers met de opdrachtgevers communiceren en afstemmen.</w:t>
      </w:r>
      <w:r w:rsidR="00FD13CA" w:rsidRPr="00CC000F">
        <w:rPr>
          <w:color w:val="ED7D31" w:themeColor="accent2"/>
        </w:rPr>
        <w:t xml:space="preserve"> </w:t>
      </w:r>
    </w:p>
    <w:p w14:paraId="1B722ED0" w14:textId="77777777" w:rsidR="00484472" w:rsidRPr="00CC000F" w:rsidRDefault="00484472" w:rsidP="00462757">
      <w:pPr>
        <w:jc w:val="left"/>
        <w:rPr>
          <w:color w:val="ED7D31" w:themeColor="accent2"/>
        </w:rPr>
      </w:pPr>
    </w:p>
    <w:p w14:paraId="2797B39A" w14:textId="197658D4" w:rsidR="00484472" w:rsidRPr="00CC000F" w:rsidRDefault="00484472" w:rsidP="00462757">
      <w:pPr>
        <w:jc w:val="left"/>
        <w:rPr>
          <w:color w:val="ED7D31" w:themeColor="accent2"/>
          <w:sz w:val="20"/>
          <w:szCs w:val="20"/>
        </w:rPr>
      </w:pPr>
      <w:r w:rsidRPr="00CC000F">
        <w:rPr>
          <w:color w:val="ED7D31" w:themeColor="accent2"/>
        </w:rPr>
        <w:t>Het managementsysteem functioneert naar behoren.</w:t>
      </w:r>
    </w:p>
    <w:p w14:paraId="4B379294" w14:textId="77777777" w:rsidR="007104C9" w:rsidRPr="007104C9" w:rsidRDefault="007104C9" w:rsidP="007104C9"/>
    <w:p w14:paraId="2DFF1880" w14:textId="77777777" w:rsidR="00A05A77" w:rsidRDefault="00A05A77" w:rsidP="00A05A77">
      <w:pPr>
        <w:pStyle w:val="Kop2"/>
      </w:pPr>
      <w:bookmarkStart w:id="37" w:name="_Toc118736221"/>
      <w:bookmarkStart w:id="38" w:name="_Toc142472109"/>
      <w:r>
        <w:t>Budgetten en investeringen</w:t>
      </w:r>
      <w:bookmarkEnd w:id="37"/>
      <w:bookmarkEnd w:id="38"/>
    </w:p>
    <w:p w14:paraId="2E5BAD15" w14:textId="77777777" w:rsidR="00A05A77" w:rsidRPr="00CC000F" w:rsidRDefault="00A05A77" w:rsidP="00A05A77">
      <w:pPr>
        <w:rPr>
          <w:color w:val="ED7D31" w:themeColor="accent2"/>
        </w:rPr>
      </w:pPr>
      <w:r w:rsidRPr="00CC000F">
        <w:rPr>
          <w:color w:val="ED7D31" w:themeColor="accent2"/>
        </w:rPr>
        <w:t>Voor het uitvoeren van het plan van aanpak, het behouden van het CO</w:t>
      </w:r>
      <w:r w:rsidRPr="00CC000F">
        <w:rPr>
          <w:color w:val="ED7D31" w:themeColor="accent2"/>
          <w:vertAlign w:val="subscript"/>
        </w:rPr>
        <w:t>2</w:t>
      </w:r>
      <w:r w:rsidRPr="00CC000F">
        <w:rPr>
          <w:color w:val="ED7D31" w:themeColor="accent2"/>
        </w:rPr>
        <w:t>-Prestatieladder certificaat en participatie aan initiatieven hebben we als directie een budget beschikbaar gesteld. De kosten voor het jaarlijks onderhouden van de CO</w:t>
      </w:r>
      <w:r w:rsidRPr="00CC000F">
        <w:rPr>
          <w:color w:val="ED7D31" w:themeColor="accent2"/>
          <w:vertAlign w:val="subscript"/>
        </w:rPr>
        <w:t>2</w:t>
      </w:r>
      <w:r w:rsidRPr="00CC000F">
        <w:rPr>
          <w:color w:val="ED7D31" w:themeColor="accent2"/>
        </w:rPr>
        <w:t>-Prestatieladder zijn als volgt:</w:t>
      </w:r>
    </w:p>
    <w:p w14:paraId="0E0BDC84" w14:textId="77777777" w:rsidR="008D6DF8" w:rsidRPr="00CC000F" w:rsidRDefault="008D6DF8" w:rsidP="00A05A77">
      <w:pPr>
        <w:rPr>
          <w:color w:val="ED7D31" w:themeColor="accent2"/>
        </w:rPr>
      </w:pPr>
    </w:p>
    <w:p w14:paraId="78177E47" w14:textId="3A5F400F" w:rsidR="00A05A77" w:rsidRPr="00CC000F" w:rsidRDefault="00A05A77" w:rsidP="0001093B">
      <w:pPr>
        <w:ind w:firstLine="708"/>
        <w:rPr>
          <w:color w:val="ED7D31" w:themeColor="accent2"/>
        </w:rPr>
      </w:pPr>
      <w:r w:rsidRPr="00CC000F">
        <w:rPr>
          <w:color w:val="ED7D31" w:themeColor="accent2"/>
        </w:rPr>
        <w:t>€</w:t>
      </w:r>
      <w:r w:rsidR="002E4B49" w:rsidRPr="00CC000F">
        <w:rPr>
          <w:color w:val="ED7D31" w:themeColor="accent2"/>
        </w:rPr>
        <w:t xml:space="preserve"> </w:t>
      </w:r>
      <w:r w:rsidR="00DB51CF" w:rsidRPr="00CC000F">
        <w:rPr>
          <w:color w:val="ED7D31" w:themeColor="accent2"/>
        </w:rPr>
        <w:t>6.750</w:t>
      </w:r>
      <w:r w:rsidR="0001093B" w:rsidRPr="00CC000F">
        <w:rPr>
          <w:color w:val="ED7D31" w:themeColor="accent2"/>
        </w:rPr>
        <w:tab/>
      </w:r>
      <w:r w:rsidRPr="00CC000F">
        <w:rPr>
          <w:color w:val="ED7D31" w:themeColor="accent2"/>
        </w:rPr>
        <w:t>Ondersteuning De Duurzame Adviseurs per jaar</w:t>
      </w:r>
    </w:p>
    <w:p w14:paraId="1A8720F9" w14:textId="7098859B" w:rsidR="00A05A77" w:rsidRPr="00CC000F" w:rsidRDefault="0001093B" w:rsidP="0001093B">
      <w:pPr>
        <w:ind w:firstLine="708"/>
        <w:rPr>
          <w:color w:val="ED7D31" w:themeColor="accent2"/>
        </w:rPr>
      </w:pPr>
      <w:r w:rsidRPr="00CC000F">
        <w:rPr>
          <w:color w:val="ED7D31" w:themeColor="accent2"/>
        </w:rPr>
        <w:t>€</w:t>
      </w:r>
      <w:r w:rsidR="00B12182" w:rsidRPr="00CC000F">
        <w:rPr>
          <w:color w:val="ED7D31" w:themeColor="accent2"/>
        </w:rPr>
        <w:t xml:space="preserve"> 1</w:t>
      </w:r>
      <w:r w:rsidR="002B5984" w:rsidRPr="00CC000F">
        <w:rPr>
          <w:color w:val="ED7D31" w:themeColor="accent2"/>
        </w:rPr>
        <w:t>.015</w:t>
      </w:r>
      <w:r w:rsidR="00DC236D" w:rsidRPr="00CC000F">
        <w:rPr>
          <w:color w:val="ED7D31" w:themeColor="accent2"/>
        </w:rPr>
        <w:tab/>
      </w:r>
      <w:r w:rsidR="00A05A77" w:rsidRPr="00CC000F">
        <w:rPr>
          <w:color w:val="ED7D31" w:themeColor="accent2"/>
        </w:rPr>
        <w:t>Contributie SKAO</w:t>
      </w:r>
    </w:p>
    <w:p w14:paraId="4D089E76" w14:textId="2621E1A5" w:rsidR="00A05A77" w:rsidRPr="00CC000F" w:rsidRDefault="0001093B" w:rsidP="0001093B">
      <w:pPr>
        <w:ind w:firstLine="708"/>
        <w:rPr>
          <w:color w:val="ED7D31" w:themeColor="accent2"/>
        </w:rPr>
      </w:pPr>
      <w:r w:rsidRPr="00CC000F">
        <w:rPr>
          <w:color w:val="ED7D31" w:themeColor="accent2"/>
        </w:rPr>
        <w:t>€</w:t>
      </w:r>
      <w:r w:rsidR="002B5984" w:rsidRPr="00CC000F">
        <w:rPr>
          <w:color w:val="ED7D31" w:themeColor="accent2"/>
        </w:rPr>
        <w:t xml:space="preserve"> </w:t>
      </w:r>
      <w:r w:rsidR="00D3190F">
        <w:rPr>
          <w:color w:val="ED7D31" w:themeColor="accent2"/>
        </w:rPr>
        <w:t>XX</w:t>
      </w:r>
      <w:r w:rsidRPr="00CC000F">
        <w:rPr>
          <w:color w:val="ED7D31" w:themeColor="accent2"/>
        </w:rPr>
        <w:tab/>
      </w:r>
      <w:r w:rsidR="00F44E6E" w:rsidRPr="00CC000F">
        <w:rPr>
          <w:color w:val="ED7D31" w:themeColor="accent2"/>
        </w:rPr>
        <w:t>I</w:t>
      </w:r>
      <w:r w:rsidR="00A05A77" w:rsidRPr="00CC000F">
        <w:rPr>
          <w:color w:val="ED7D31" w:themeColor="accent2"/>
        </w:rPr>
        <w:t xml:space="preserve">nitiatieven </w:t>
      </w:r>
    </w:p>
    <w:p w14:paraId="5EB402EF" w14:textId="77777777" w:rsidR="0001093B" w:rsidRPr="00CC000F" w:rsidRDefault="0001093B" w:rsidP="00A05A77">
      <w:pPr>
        <w:rPr>
          <w:color w:val="ED7D31" w:themeColor="accent2"/>
        </w:rPr>
      </w:pPr>
      <w:bookmarkStart w:id="39" w:name="_lnxbz9" w:colFirst="0" w:colLast="0"/>
      <w:bookmarkEnd w:id="39"/>
    </w:p>
    <w:p w14:paraId="3AE18482" w14:textId="77777777" w:rsidR="00A05A77" w:rsidRPr="00CC000F" w:rsidRDefault="00A05A77" w:rsidP="00A05A77">
      <w:pPr>
        <w:rPr>
          <w:color w:val="ED7D31" w:themeColor="accent2"/>
        </w:rPr>
      </w:pPr>
      <w:r w:rsidRPr="00CC000F">
        <w:rPr>
          <w:color w:val="ED7D31" w:themeColor="accent2"/>
        </w:rPr>
        <w:t>De eventuele besparingen die de maatregelen opleveren, worden waar het kan gebruikt om te investeren in nieuwe maatregelen.</w:t>
      </w:r>
    </w:p>
    <w:p w14:paraId="78A54877" w14:textId="77777777" w:rsidR="008E38D0" w:rsidRPr="00CC000F" w:rsidRDefault="008E38D0" w:rsidP="00517678">
      <w:pPr>
        <w:spacing w:line="276" w:lineRule="auto"/>
        <w:rPr>
          <w:color w:val="ED7D31" w:themeColor="accent2"/>
          <w:szCs w:val="19"/>
        </w:rPr>
      </w:pPr>
    </w:p>
    <w:p w14:paraId="77D9E3E1" w14:textId="77777777" w:rsidR="00517678" w:rsidRPr="00CC000F" w:rsidRDefault="00517678" w:rsidP="00517678">
      <w:pPr>
        <w:spacing w:line="276" w:lineRule="auto"/>
        <w:rPr>
          <w:rFonts w:cs="Verdana"/>
          <w:color w:val="ED7D31" w:themeColor="accent2"/>
          <w:sz w:val="22"/>
          <w:szCs w:val="22"/>
        </w:rPr>
      </w:pPr>
      <w:r w:rsidRPr="00CC000F">
        <w:rPr>
          <w:rFonts w:cs="Verdana"/>
          <w:color w:val="ED7D31" w:themeColor="accent2"/>
          <w:sz w:val="22"/>
          <w:szCs w:val="22"/>
        </w:rPr>
        <w:t>Ondertekening</w:t>
      </w:r>
    </w:p>
    <w:p w14:paraId="3D232F20" w14:textId="5C47DF9F" w:rsidR="00517678" w:rsidRPr="00CC000F" w:rsidRDefault="00517678" w:rsidP="00517678">
      <w:pPr>
        <w:spacing w:line="276" w:lineRule="auto"/>
        <w:rPr>
          <w:color w:val="ED7D31" w:themeColor="accent2"/>
        </w:rPr>
      </w:pPr>
      <w:r w:rsidRPr="00CC000F">
        <w:rPr>
          <w:color w:val="ED7D31" w:themeColor="accent2"/>
        </w:rPr>
        <w:t>Datum</w:t>
      </w:r>
      <w:r w:rsidR="00C501D6" w:rsidRPr="00CC000F">
        <w:rPr>
          <w:color w:val="ED7D31" w:themeColor="accent2"/>
        </w:rPr>
        <w:t xml:space="preserve"> </w:t>
      </w:r>
      <w:r w:rsidR="00C86BB5" w:rsidRPr="00CC000F">
        <w:rPr>
          <w:color w:val="ED7D31" w:themeColor="accent2"/>
        </w:rPr>
        <w:t>Directiebeoordeling</w:t>
      </w:r>
      <w:r w:rsidRPr="00CC000F">
        <w:rPr>
          <w:color w:val="ED7D31" w:themeColor="accent2"/>
        </w:rPr>
        <w:t>:</w:t>
      </w:r>
      <w:r w:rsidRPr="00CC000F">
        <w:rPr>
          <w:color w:val="ED7D31" w:themeColor="accent2"/>
        </w:rPr>
        <w:tab/>
      </w:r>
      <w:r w:rsidRPr="00CC000F">
        <w:rPr>
          <w:color w:val="ED7D31" w:themeColor="accent2"/>
        </w:rPr>
        <w:tab/>
      </w:r>
      <w:r w:rsidRPr="00CC000F">
        <w:rPr>
          <w:color w:val="ED7D31" w:themeColor="accent2"/>
        </w:rPr>
        <w:tab/>
      </w:r>
      <w:r w:rsidRPr="00CC000F">
        <w:rPr>
          <w:color w:val="ED7D31" w:themeColor="accent2"/>
        </w:rPr>
        <w:tab/>
      </w:r>
      <w:r w:rsidR="00C86BB5">
        <w:rPr>
          <w:color w:val="ED7D31" w:themeColor="accent2"/>
        </w:rPr>
        <w:t>06</w:t>
      </w:r>
      <w:r w:rsidRPr="00CC000F">
        <w:rPr>
          <w:color w:val="ED7D31" w:themeColor="accent2"/>
        </w:rPr>
        <w:t>-</w:t>
      </w:r>
      <w:r w:rsidR="00C86BB5">
        <w:rPr>
          <w:color w:val="ED7D31" w:themeColor="accent2"/>
        </w:rPr>
        <w:t>06</w:t>
      </w:r>
      <w:r w:rsidRPr="00CC000F">
        <w:rPr>
          <w:color w:val="ED7D31" w:themeColor="accent2"/>
        </w:rPr>
        <w:t>-</w:t>
      </w:r>
      <w:r w:rsidR="00C86BB5">
        <w:rPr>
          <w:color w:val="ED7D31" w:themeColor="accent2"/>
        </w:rPr>
        <w:t>2025</w:t>
      </w:r>
    </w:p>
    <w:p w14:paraId="1C46E8A9" w14:textId="77777777" w:rsidR="00517678" w:rsidRPr="00CC000F" w:rsidRDefault="00517678" w:rsidP="00517678">
      <w:pPr>
        <w:spacing w:line="276" w:lineRule="auto"/>
        <w:rPr>
          <w:color w:val="ED7D31" w:themeColor="accent2"/>
          <w:sz w:val="22"/>
          <w:szCs w:val="22"/>
        </w:rPr>
      </w:pPr>
    </w:p>
    <w:p w14:paraId="67586280" w14:textId="77777777" w:rsidR="00517678" w:rsidRPr="00CC000F" w:rsidRDefault="00517678" w:rsidP="00517678">
      <w:pPr>
        <w:spacing w:line="276" w:lineRule="auto"/>
        <w:rPr>
          <w:color w:val="ED7D31" w:themeColor="accent2"/>
          <w:sz w:val="22"/>
          <w:szCs w:val="22"/>
        </w:rPr>
      </w:pPr>
    </w:p>
    <w:p w14:paraId="44C7B0CD" w14:textId="77777777" w:rsidR="00517678" w:rsidRPr="00CC000F" w:rsidRDefault="00517678" w:rsidP="00517678">
      <w:pPr>
        <w:spacing w:line="276" w:lineRule="auto"/>
        <w:rPr>
          <w:color w:val="ED7D31" w:themeColor="accent2"/>
        </w:rPr>
      </w:pPr>
    </w:p>
    <w:p w14:paraId="3BD67C51" w14:textId="77777777" w:rsidR="00517678" w:rsidRPr="00CC000F" w:rsidRDefault="00517678" w:rsidP="00517678">
      <w:pPr>
        <w:spacing w:line="276" w:lineRule="auto"/>
        <w:rPr>
          <w:color w:val="ED7D31" w:themeColor="accent2"/>
        </w:rPr>
      </w:pPr>
      <w:r w:rsidRPr="00CC000F">
        <w:rPr>
          <w:color w:val="ED7D31" w:themeColor="accent2"/>
        </w:rPr>
        <w:t>------------------------</w:t>
      </w:r>
      <w:r w:rsidRPr="00CC000F">
        <w:rPr>
          <w:color w:val="ED7D31" w:themeColor="accent2"/>
        </w:rPr>
        <w:tab/>
      </w:r>
      <w:r w:rsidRPr="00CC000F">
        <w:rPr>
          <w:color w:val="ED7D31" w:themeColor="accent2"/>
        </w:rPr>
        <w:tab/>
      </w:r>
      <w:r w:rsidRPr="00CC000F">
        <w:rPr>
          <w:color w:val="ED7D31" w:themeColor="accent2"/>
        </w:rPr>
        <w:tab/>
      </w:r>
      <w:r w:rsidRPr="00CC000F">
        <w:rPr>
          <w:color w:val="ED7D31" w:themeColor="accent2"/>
        </w:rPr>
        <w:tab/>
        <w:t>------------------------</w:t>
      </w:r>
    </w:p>
    <w:p w14:paraId="2E6C1315" w14:textId="77777777" w:rsidR="00517678" w:rsidRPr="00CC000F" w:rsidRDefault="00517678" w:rsidP="00A05A77">
      <w:pPr>
        <w:rPr>
          <w:color w:val="ED7D31" w:themeColor="accent2"/>
        </w:rPr>
      </w:pPr>
      <w:r w:rsidRPr="00CC000F">
        <w:rPr>
          <w:color w:val="ED7D31" w:themeColor="accent2"/>
        </w:rPr>
        <w:t>Handtekening</w:t>
      </w:r>
      <w:r w:rsidRPr="00CC000F">
        <w:rPr>
          <w:color w:val="ED7D31" w:themeColor="accent2"/>
        </w:rPr>
        <w:tab/>
      </w:r>
      <w:r w:rsidRPr="00CC000F">
        <w:rPr>
          <w:color w:val="ED7D31" w:themeColor="accent2"/>
        </w:rPr>
        <w:tab/>
      </w:r>
      <w:r w:rsidRPr="00CC000F">
        <w:rPr>
          <w:color w:val="ED7D31" w:themeColor="accent2"/>
        </w:rPr>
        <w:tab/>
      </w:r>
      <w:r w:rsidRPr="00CC000F">
        <w:rPr>
          <w:color w:val="ED7D31" w:themeColor="accent2"/>
        </w:rPr>
        <w:tab/>
      </w:r>
      <w:r w:rsidRPr="00CC000F">
        <w:rPr>
          <w:color w:val="ED7D31" w:themeColor="accent2"/>
        </w:rPr>
        <w:tab/>
        <w:t xml:space="preserve">Naam </w:t>
      </w:r>
      <w:r w:rsidR="007117A6" w:rsidRPr="00CC000F">
        <w:rPr>
          <w:color w:val="ED7D31" w:themeColor="accent2"/>
        </w:rPr>
        <w:t>en functie</w:t>
      </w:r>
    </w:p>
    <w:p w14:paraId="0324D670" w14:textId="77777777" w:rsidR="000F45A8" w:rsidRPr="00CC000F" w:rsidRDefault="008F5FF4">
      <w:pPr>
        <w:rPr>
          <w:color w:val="ED7D31" w:themeColor="accent2"/>
        </w:rPr>
      </w:pPr>
      <w:r w:rsidRPr="00CC000F">
        <w:rPr>
          <w:color w:val="ED7D31" w:themeColor="accent2"/>
        </w:rPr>
        <w:br w:type="page"/>
      </w:r>
      <w:bookmarkEnd w:id="2"/>
    </w:p>
    <w:p w14:paraId="374336F1" w14:textId="77777777" w:rsidR="00832AAA" w:rsidRPr="00BA3E48" w:rsidRDefault="00D76E5E" w:rsidP="000F45A8">
      <w:pPr>
        <w:pStyle w:val="Kop1"/>
      </w:pPr>
      <w:bookmarkStart w:id="40" w:name="_Toc118736222"/>
      <w:bookmarkStart w:id="41" w:name="_Toc142472110"/>
      <w:r w:rsidRPr="00BA3E48">
        <w:lastRenderedPageBreak/>
        <w:t>Leeswijzer</w:t>
      </w:r>
      <w:bookmarkEnd w:id="40"/>
      <w:bookmarkEnd w:id="41"/>
    </w:p>
    <w:p w14:paraId="289F947F" w14:textId="77777777" w:rsidR="00E116F5" w:rsidRDefault="00E116F5" w:rsidP="00E116F5"/>
    <w:p w14:paraId="0D10878F" w14:textId="77777777" w:rsidR="004A6A1F" w:rsidRDefault="00296FCD" w:rsidP="004A6A1F">
      <w:r>
        <w:t>Dit dossier is opgebouwd uit verschillende documenten</w:t>
      </w:r>
      <w:r w:rsidR="001B6E8A">
        <w:t>. In dit hoofdstuk wordt toegelicht welk doel elk document dient.</w:t>
      </w:r>
    </w:p>
    <w:p w14:paraId="4E2D2DFF" w14:textId="77777777" w:rsidR="001B6E8A" w:rsidRDefault="001B6E8A" w:rsidP="004A6A1F"/>
    <w:p w14:paraId="364A808E" w14:textId="77777777" w:rsidR="001B6E8A" w:rsidRDefault="001B6E8A" w:rsidP="004A6A1F">
      <w:pPr>
        <w:rPr>
          <w:b/>
          <w:bCs/>
        </w:rPr>
      </w:pPr>
      <w:r w:rsidRPr="001B6E8A">
        <w:rPr>
          <w:b/>
          <w:bCs/>
        </w:rPr>
        <w:t>CO</w:t>
      </w:r>
      <w:r w:rsidRPr="001B6E8A">
        <w:rPr>
          <w:b/>
          <w:bCs/>
          <w:vertAlign w:val="subscript"/>
        </w:rPr>
        <w:t>2</w:t>
      </w:r>
      <w:r>
        <w:rPr>
          <w:b/>
          <w:bCs/>
        </w:rPr>
        <w:t>-verslag</w:t>
      </w:r>
    </w:p>
    <w:p w14:paraId="63329728" w14:textId="77777777" w:rsidR="00B16145" w:rsidRDefault="001B6E8A" w:rsidP="004A6A1F">
      <w:r>
        <w:t xml:space="preserve">Dit </w:t>
      </w:r>
      <w:r w:rsidRPr="006C3145">
        <w:t>CO</w:t>
      </w:r>
      <w:r w:rsidRPr="006C3145">
        <w:rPr>
          <w:vertAlign w:val="subscript"/>
        </w:rPr>
        <w:t>2</w:t>
      </w:r>
      <w:r>
        <w:t xml:space="preserve">-verslag omvat </w:t>
      </w:r>
      <w:r w:rsidR="00811265">
        <w:t xml:space="preserve">de tekstuele informatie </w:t>
      </w:r>
      <w:r w:rsidR="00B16145">
        <w:t xml:space="preserve">ter ondersteuning van het </w:t>
      </w:r>
      <w:r w:rsidR="00B16145" w:rsidRPr="006C3145">
        <w:t>CO</w:t>
      </w:r>
      <w:r w:rsidR="00B16145" w:rsidRPr="006C3145">
        <w:rPr>
          <w:vertAlign w:val="subscript"/>
        </w:rPr>
        <w:t>2</w:t>
      </w:r>
      <w:r w:rsidR="00B16145">
        <w:t>-managementsysteem. De opbouw van dit document is als volgt:</w:t>
      </w:r>
    </w:p>
    <w:p w14:paraId="26DDD5FD" w14:textId="77777777" w:rsidR="00761CF3" w:rsidRDefault="00761CF3" w:rsidP="00B16145">
      <w:pPr>
        <w:pStyle w:val="Lijstalinea"/>
        <w:numPr>
          <w:ilvl w:val="0"/>
          <w:numId w:val="24"/>
        </w:numPr>
      </w:pPr>
      <w:r>
        <w:t xml:space="preserve">Introductie van de </w:t>
      </w:r>
      <w:r w:rsidRPr="006C3145">
        <w:t>CO</w:t>
      </w:r>
      <w:r w:rsidRPr="006C3145">
        <w:rPr>
          <w:vertAlign w:val="subscript"/>
        </w:rPr>
        <w:t>2</w:t>
      </w:r>
      <w:r>
        <w:t>-Prestatieladder</w:t>
      </w:r>
    </w:p>
    <w:p w14:paraId="27671970" w14:textId="77777777" w:rsidR="008E38D0" w:rsidRDefault="008E38D0" w:rsidP="00B16145">
      <w:pPr>
        <w:pStyle w:val="Lijstalinea"/>
        <w:numPr>
          <w:ilvl w:val="0"/>
          <w:numId w:val="24"/>
        </w:numPr>
      </w:pPr>
      <w:r>
        <w:t>Directiebeoordeling</w:t>
      </w:r>
    </w:p>
    <w:p w14:paraId="39479EF3" w14:textId="77777777" w:rsidR="00761CF3" w:rsidRDefault="00761CF3" w:rsidP="00B16145">
      <w:pPr>
        <w:pStyle w:val="Lijstalinea"/>
        <w:numPr>
          <w:ilvl w:val="0"/>
          <w:numId w:val="24"/>
        </w:numPr>
      </w:pPr>
      <w:r>
        <w:t>Leeswijzer van de verschillende documenten in het dossier</w:t>
      </w:r>
    </w:p>
    <w:p w14:paraId="0BA9B223" w14:textId="77777777" w:rsidR="00761CF3" w:rsidRDefault="00761CF3" w:rsidP="00B16145">
      <w:pPr>
        <w:pStyle w:val="Lijstalinea"/>
        <w:numPr>
          <w:ilvl w:val="0"/>
          <w:numId w:val="24"/>
        </w:numPr>
      </w:pPr>
      <w:r>
        <w:t>Beschrijving van de organisatie</w:t>
      </w:r>
    </w:p>
    <w:p w14:paraId="0823A4BC" w14:textId="77777777" w:rsidR="00761CF3" w:rsidRDefault="00761CF3" w:rsidP="00B16145">
      <w:pPr>
        <w:pStyle w:val="Lijstalinea"/>
        <w:numPr>
          <w:ilvl w:val="0"/>
          <w:numId w:val="24"/>
        </w:numPr>
      </w:pPr>
      <w:r>
        <w:t xml:space="preserve">Rapportage van de </w:t>
      </w:r>
      <w:r w:rsidRPr="006C3145">
        <w:t>CO</w:t>
      </w:r>
      <w:r w:rsidRPr="006C3145">
        <w:rPr>
          <w:vertAlign w:val="subscript"/>
        </w:rPr>
        <w:t>2</w:t>
      </w:r>
      <w:r>
        <w:t>-emissie-inventaris conform ISO 14061-1</w:t>
      </w:r>
    </w:p>
    <w:p w14:paraId="5A7386BA" w14:textId="77777777" w:rsidR="00E65D5F" w:rsidRDefault="00DB0297" w:rsidP="00B16145">
      <w:pPr>
        <w:pStyle w:val="Lijstalinea"/>
        <w:numPr>
          <w:ilvl w:val="0"/>
          <w:numId w:val="24"/>
        </w:numPr>
      </w:pPr>
      <w:r>
        <w:t>Voortgang en ambitiebepaling</w:t>
      </w:r>
    </w:p>
    <w:p w14:paraId="1D0483E2" w14:textId="77777777" w:rsidR="001B6E8A" w:rsidRDefault="00E65D5F" w:rsidP="00E65D5F">
      <w:pPr>
        <w:ind w:firstLine="360"/>
      </w:pPr>
      <w:r>
        <w:t>Bijlage A: Toelichting van de organizational boundary</w:t>
      </w:r>
    </w:p>
    <w:p w14:paraId="514447AC" w14:textId="77777777" w:rsidR="00C26E4C" w:rsidRPr="00BA3E48" w:rsidRDefault="00C26E4C" w:rsidP="004A6A1F"/>
    <w:p w14:paraId="437E71C4" w14:textId="77777777" w:rsidR="000F61A2" w:rsidRDefault="000F61A2">
      <w:pPr>
        <w:rPr>
          <w:b/>
          <w:bCs/>
        </w:rPr>
      </w:pPr>
      <w:r w:rsidRPr="000F61A2">
        <w:rPr>
          <w:b/>
          <w:bCs/>
        </w:rPr>
        <w:t>CO</w:t>
      </w:r>
      <w:r w:rsidRPr="000F61A2">
        <w:rPr>
          <w:b/>
          <w:bCs/>
          <w:vertAlign w:val="subscript"/>
        </w:rPr>
        <w:t>2</w:t>
      </w:r>
      <w:r>
        <w:rPr>
          <w:b/>
          <w:bCs/>
        </w:rPr>
        <w:t>-dashboard</w:t>
      </w:r>
    </w:p>
    <w:p w14:paraId="64DF55B3" w14:textId="77777777" w:rsidR="00373BAA" w:rsidRDefault="002D0A04">
      <w:r w:rsidRPr="00E20543">
        <w:t>Het Excel document “CO</w:t>
      </w:r>
      <w:r w:rsidRPr="00E20543">
        <w:rPr>
          <w:vertAlign w:val="subscript"/>
        </w:rPr>
        <w:t>2</w:t>
      </w:r>
      <w:r w:rsidRPr="00E20543">
        <w:t xml:space="preserve">-dashboard” </w:t>
      </w:r>
      <w:r w:rsidR="008B67A2" w:rsidRPr="00E20543">
        <w:t xml:space="preserve">omvat de </w:t>
      </w:r>
      <w:r w:rsidR="00A50498" w:rsidRPr="00E20543">
        <w:t>scope 1, 2 en business travel CO</w:t>
      </w:r>
      <w:r w:rsidR="00A50498" w:rsidRPr="00E20543">
        <w:rPr>
          <w:vertAlign w:val="subscript"/>
        </w:rPr>
        <w:t>2</w:t>
      </w:r>
      <w:r w:rsidR="00A50498" w:rsidRPr="00E20543">
        <w:t>-emissies</w:t>
      </w:r>
      <w:r w:rsidR="00E20543" w:rsidRPr="00E20543">
        <w:t xml:space="preserve"> en energieverbruiken</w:t>
      </w:r>
      <w:r w:rsidR="00373BAA">
        <w:t xml:space="preserve"> en de voortgang hiervan</w:t>
      </w:r>
      <w:r w:rsidR="00E20543">
        <w:t xml:space="preserve">. </w:t>
      </w:r>
      <w:r w:rsidR="007B6471">
        <w:t xml:space="preserve">In het tabblad “data” </w:t>
      </w:r>
      <w:r w:rsidR="0034339B">
        <w:t xml:space="preserve">worden de brongegevens ingevoerd en gekoppeld aan de juiste </w:t>
      </w:r>
      <w:r w:rsidR="0034339B" w:rsidRPr="006C3145">
        <w:t>CO</w:t>
      </w:r>
      <w:r w:rsidR="0034339B" w:rsidRPr="006C3145">
        <w:rPr>
          <w:vertAlign w:val="subscript"/>
        </w:rPr>
        <w:t>2</w:t>
      </w:r>
      <w:r w:rsidR="0034339B">
        <w:t xml:space="preserve">-emissiefactoren van dat jaar vanuit het tabblad “input keuzevariabelen”. </w:t>
      </w:r>
    </w:p>
    <w:p w14:paraId="66E7AAA3" w14:textId="77777777" w:rsidR="00373BAA" w:rsidRDefault="00373BAA"/>
    <w:p w14:paraId="608A1DA8" w14:textId="77777777" w:rsidR="00373BAA" w:rsidRDefault="00373BAA">
      <w:pPr>
        <w:rPr>
          <w:b/>
          <w:bCs/>
        </w:rPr>
      </w:pPr>
      <w:r>
        <w:rPr>
          <w:b/>
          <w:bCs/>
        </w:rPr>
        <w:t>Acties, planning en verantwoordelijkheden</w:t>
      </w:r>
    </w:p>
    <w:p w14:paraId="2DA0AC32" w14:textId="77777777" w:rsidR="00450E45" w:rsidRDefault="00373BAA">
      <w:r>
        <w:t xml:space="preserve">Het Excel document “Acties, planning en verantwoordelijkheden” omvat </w:t>
      </w:r>
      <w:r w:rsidR="00A0270F">
        <w:t xml:space="preserve">de stuurcyclus en het energiemanagement actieplan voor het onderhouden van het </w:t>
      </w:r>
      <w:r w:rsidR="00A0270F" w:rsidRPr="006C3145">
        <w:t>CO</w:t>
      </w:r>
      <w:r w:rsidR="00A0270F" w:rsidRPr="006C3145">
        <w:rPr>
          <w:vertAlign w:val="subscript"/>
        </w:rPr>
        <w:t>2</w:t>
      </w:r>
      <w:r w:rsidR="00A0270F">
        <w:t>-managementsysteem</w:t>
      </w:r>
      <w:r w:rsidR="00DB4A1C">
        <w:t xml:space="preserve">. Hierin worden acties, planning en verantwoordelijkheden </w:t>
      </w:r>
      <w:r w:rsidR="00E7281A">
        <w:t>omschreven, belanghebbenden geïdentificeerd</w:t>
      </w:r>
      <w:r w:rsidR="00D92739">
        <w:t xml:space="preserve"> en </w:t>
      </w:r>
      <w:r w:rsidR="00E11C4E">
        <w:t xml:space="preserve">wordt een checklist met de verplichte communicatie bijgehouden. Verder </w:t>
      </w:r>
      <w:r w:rsidR="00DB6539">
        <w:t xml:space="preserve">wordt </w:t>
      </w:r>
      <w:r w:rsidR="00450E45">
        <w:t xml:space="preserve">de dataverzamelingsprocedure vastgelegd en het plan van aanpak voor </w:t>
      </w:r>
      <w:r w:rsidR="00450E45" w:rsidRPr="006C3145">
        <w:t>CO</w:t>
      </w:r>
      <w:r w:rsidR="00450E45" w:rsidRPr="006C3145">
        <w:rPr>
          <w:vertAlign w:val="subscript"/>
        </w:rPr>
        <w:t>2</w:t>
      </w:r>
      <w:r w:rsidR="00450E45">
        <w:t xml:space="preserve">-reductiemaatregelen inclusief berekening van de </w:t>
      </w:r>
      <w:r w:rsidR="00450E45" w:rsidRPr="006C3145">
        <w:t>CO</w:t>
      </w:r>
      <w:r w:rsidR="00450E45" w:rsidRPr="006C3145">
        <w:rPr>
          <w:vertAlign w:val="subscript"/>
        </w:rPr>
        <w:t>2</w:t>
      </w:r>
      <w:r w:rsidR="00450E45">
        <w:t xml:space="preserve">-reductiedoelstellingen omschreven. </w:t>
      </w:r>
    </w:p>
    <w:p w14:paraId="07FABECD" w14:textId="77777777" w:rsidR="00450E45" w:rsidRDefault="00450E45"/>
    <w:p w14:paraId="19B036AE" w14:textId="77777777" w:rsidR="005640DA" w:rsidRDefault="005640DA" w:rsidP="005640DA">
      <w:pPr>
        <w:rPr>
          <w:b/>
          <w:bCs/>
          <w:color w:val="000000" w:themeColor="text1"/>
        </w:rPr>
      </w:pPr>
      <w:r w:rsidRPr="0058181D">
        <w:rPr>
          <w:b/>
          <w:bCs/>
          <w:color w:val="000000" w:themeColor="text1"/>
        </w:rPr>
        <w:t>CO</w:t>
      </w:r>
      <w:r w:rsidRPr="0058181D">
        <w:rPr>
          <w:b/>
          <w:bCs/>
          <w:color w:val="000000" w:themeColor="text1"/>
          <w:vertAlign w:val="subscript"/>
        </w:rPr>
        <w:t>2</w:t>
      </w:r>
      <w:r>
        <w:rPr>
          <w:b/>
          <w:bCs/>
          <w:color w:val="000000" w:themeColor="text1"/>
        </w:rPr>
        <w:t>-emissie-inventaris scope 3 en voortgang</w:t>
      </w:r>
    </w:p>
    <w:p w14:paraId="182E783F" w14:textId="52EAC920" w:rsidR="005640DA" w:rsidRDefault="005640DA" w:rsidP="005640DA">
      <w:r w:rsidRPr="00E20543">
        <w:t>Het Excel document “CO</w:t>
      </w:r>
      <w:r w:rsidRPr="00E20543">
        <w:rPr>
          <w:vertAlign w:val="subscript"/>
        </w:rPr>
        <w:t>2</w:t>
      </w:r>
      <w:r w:rsidRPr="00E20543">
        <w:t>-</w:t>
      </w:r>
      <w:r>
        <w:t>emissie-inventaris scope 3 en voortgang”</w:t>
      </w:r>
      <w:r w:rsidRPr="00E20543">
        <w:t xml:space="preserve"> omvat </w:t>
      </w:r>
      <w:r>
        <w:t>de kwalitatieve en kwantitatieve scope 3 analyse. In de kwalitatieve analyse word</w:t>
      </w:r>
      <w:r w:rsidR="007C750E">
        <w:t>t het</w:t>
      </w:r>
      <w:r>
        <w:t xml:space="preserve"> onderwerp</w:t>
      </w:r>
      <w:r w:rsidR="007C750E">
        <w:rPr>
          <w:color w:val="ED7D31" w:themeColor="accent2"/>
        </w:rPr>
        <w:t xml:space="preserve"> </w:t>
      </w:r>
      <w:r>
        <w:t>voor de ketenanalys</w:t>
      </w:r>
      <w:r w:rsidR="007C750E">
        <w:t>e</w:t>
      </w:r>
      <w:r>
        <w:t xml:space="preserve"> bepaald en in de kwantitatieve analyse worden </w:t>
      </w:r>
      <w:r w:rsidRPr="00E20543">
        <w:t xml:space="preserve">de scope </w:t>
      </w:r>
      <w:r>
        <w:t xml:space="preserve">3 </w:t>
      </w:r>
      <w:r w:rsidRPr="00E20543">
        <w:t>CO</w:t>
      </w:r>
      <w:r w:rsidRPr="00E20543">
        <w:rPr>
          <w:vertAlign w:val="subscript"/>
        </w:rPr>
        <w:t>2</w:t>
      </w:r>
      <w:r w:rsidRPr="00E20543">
        <w:t xml:space="preserve">-emissies </w:t>
      </w:r>
      <w:r>
        <w:t xml:space="preserve">en de voortgang hiervan weergegeven. In het tabblad “data” worden de brongegevens ingevoerd en gekoppeld aan de juiste </w:t>
      </w:r>
      <w:r w:rsidRPr="006C3145">
        <w:t>CO</w:t>
      </w:r>
      <w:r w:rsidRPr="006C3145">
        <w:rPr>
          <w:vertAlign w:val="subscript"/>
        </w:rPr>
        <w:t>2</w:t>
      </w:r>
      <w:r>
        <w:t xml:space="preserve">-emissiefactoren vanuit het tabblad “input keuzevariabelen”. </w:t>
      </w:r>
    </w:p>
    <w:p w14:paraId="49C7C3DB" w14:textId="77777777" w:rsidR="005640DA" w:rsidRDefault="005640DA" w:rsidP="005640DA">
      <w:pPr>
        <w:rPr>
          <w:b/>
          <w:bCs/>
          <w:color w:val="000000" w:themeColor="text1"/>
        </w:rPr>
      </w:pPr>
    </w:p>
    <w:p w14:paraId="0FB18087" w14:textId="115172D3" w:rsidR="005640DA" w:rsidRPr="002A4F58" w:rsidRDefault="005640DA" w:rsidP="005640DA">
      <w:pPr>
        <w:rPr>
          <w:b/>
          <w:bCs/>
          <w:color w:val="ED7D31" w:themeColor="accent2"/>
        </w:rPr>
      </w:pPr>
      <w:r>
        <w:rPr>
          <w:b/>
          <w:bCs/>
          <w:color w:val="000000" w:themeColor="text1"/>
        </w:rPr>
        <w:t>Ketenanalyse</w:t>
      </w:r>
    </w:p>
    <w:p w14:paraId="279C77F6" w14:textId="77777777" w:rsidR="005640DA" w:rsidRDefault="005640DA" w:rsidP="005640DA">
      <w:pPr>
        <w:rPr>
          <w:color w:val="000000" w:themeColor="text1"/>
        </w:rPr>
      </w:pPr>
      <w:r>
        <w:rPr>
          <w:color w:val="000000" w:themeColor="text1"/>
        </w:rPr>
        <w:t xml:space="preserve">In dit document wordt de </w:t>
      </w:r>
      <w:r w:rsidRPr="001D06D3">
        <w:rPr>
          <w:color w:val="000000" w:themeColor="text1"/>
        </w:rPr>
        <w:t>CO</w:t>
      </w:r>
      <w:r w:rsidRPr="001D06D3">
        <w:rPr>
          <w:color w:val="000000" w:themeColor="text1"/>
          <w:vertAlign w:val="subscript"/>
        </w:rPr>
        <w:t>2</w:t>
      </w:r>
      <w:r>
        <w:rPr>
          <w:color w:val="000000" w:themeColor="text1"/>
        </w:rPr>
        <w:t xml:space="preserve">-uitstoot van een bepaalde keten geanalyseerd en wordt hierop een </w:t>
      </w:r>
      <w:r w:rsidRPr="001D06D3">
        <w:rPr>
          <w:color w:val="000000" w:themeColor="text1"/>
        </w:rPr>
        <w:t>CO</w:t>
      </w:r>
      <w:r w:rsidRPr="001D06D3">
        <w:rPr>
          <w:color w:val="000000" w:themeColor="text1"/>
          <w:vertAlign w:val="subscript"/>
        </w:rPr>
        <w:t>2</w:t>
      </w:r>
      <w:r>
        <w:rPr>
          <w:color w:val="000000" w:themeColor="text1"/>
        </w:rPr>
        <w:t xml:space="preserve">-reductiedoelstelling voor de keten opgesteld. </w:t>
      </w:r>
    </w:p>
    <w:p w14:paraId="397680A3" w14:textId="77777777" w:rsidR="00C26E4C" w:rsidRPr="00E20543" w:rsidRDefault="00C26E4C">
      <w:r w:rsidRPr="00E20543">
        <w:br w:type="page"/>
      </w:r>
    </w:p>
    <w:p w14:paraId="1231AF9B" w14:textId="77777777" w:rsidR="00B678A6" w:rsidRPr="005B1065" w:rsidRDefault="00A14DAA" w:rsidP="005B1065">
      <w:pPr>
        <w:pStyle w:val="Kop1"/>
      </w:pPr>
      <w:bookmarkStart w:id="42" w:name="_Toc118736223"/>
      <w:bookmarkStart w:id="43" w:name="_Toc142472111"/>
      <w:r w:rsidRPr="005B1065">
        <w:lastRenderedPageBreak/>
        <w:t>Beschrijving van de organisatie</w:t>
      </w:r>
      <w:bookmarkEnd w:id="42"/>
      <w:bookmarkEnd w:id="43"/>
    </w:p>
    <w:p w14:paraId="172A7E3D" w14:textId="77777777" w:rsidR="00A12A26" w:rsidRPr="00BA3E48" w:rsidRDefault="00A12A26" w:rsidP="00A12A26"/>
    <w:p w14:paraId="5439B516" w14:textId="77777777" w:rsidR="00A12A26" w:rsidRPr="005B1065" w:rsidRDefault="00A12A26" w:rsidP="005B1065">
      <w:pPr>
        <w:pStyle w:val="Kop2"/>
      </w:pPr>
      <w:bookmarkStart w:id="44" w:name="_Toc118736224"/>
      <w:bookmarkStart w:id="45" w:name="_Toc142472112"/>
      <w:r w:rsidRPr="005B1065">
        <w:t>Introductie</w:t>
      </w:r>
      <w:bookmarkEnd w:id="44"/>
      <w:bookmarkEnd w:id="45"/>
      <w:r w:rsidRPr="005B1065">
        <w:t xml:space="preserve"> </w:t>
      </w:r>
    </w:p>
    <w:p w14:paraId="35EE4365" w14:textId="306E3E52" w:rsidR="00927D25" w:rsidRPr="00BA3E48" w:rsidRDefault="00927D25" w:rsidP="00927D25">
      <w:r w:rsidRPr="00774869">
        <w:t xml:space="preserve">Adviseren, </w:t>
      </w:r>
      <w:r>
        <w:t>b</w:t>
      </w:r>
      <w:r w:rsidRPr="00774869">
        <w:t>edenken, bouwen en perfect werkend opleveren. Als high-end system integrator verzorgt CityTec de complete uitvoering van elk project in openbare verlichting, verkeerregelinstallaties, EV Charge Solutions, Smart City Toepassingen zoals: sensoren, camera's, 5G, dimmen en beheersystemen. Daarnaast is CityTec een zeer ervaren partij in advies, beheer, onderhoud en financiering. Overheden zijn de belangrijkste partners voor City</w:t>
      </w:r>
      <w:r w:rsidR="00EC60B5">
        <w:t>T</w:t>
      </w:r>
      <w:r w:rsidRPr="00774869">
        <w:t>ec en wij willen graag bijdragen aan de duurzaamheidsdoelstellingen van overheden.</w:t>
      </w:r>
    </w:p>
    <w:p w14:paraId="45CED0B2" w14:textId="77777777" w:rsidR="00074AF0" w:rsidRDefault="00074AF0" w:rsidP="00074AF0">
      <w:pPr>
        <w:rPr>
          <w:b/>
          <w:bCs/>
          <w:color w:val="ED7D31" w:themeColor="accent2"/>
        </w:rPr>
      </w:pPr>
    </w:p>
    <w:p w14:paraId="2A292604" w14:textId="77777777" w:rsidR="00074AF0" w:rsidRPr="007B563D" w:rsidRDefault="00074AF0" w:rsidP="005B1065">
      <w:pPr>
        <w:pStyle w:val="Kop2"/>
      </w:pPr>
      <w:bookmarkStart w:id="46" w:name="_Toc18488478"/>
      <w:bookmarkStart w:id="47" w:name="_Toc90908397"/>
      <w:bookmarkStart w:id="48" w:name="_Toc118736225"/>
      <w:bookmarkStart w:id="49" w:name="_Toc142472113"/>
      <w:bookmarkStart w:id="50" w:name="_Hlk47096995"/>
      <w:r w:rsidRPr="007B563D">
        <w:t>Verantwoordelijke</w:t>
      </w:r>
      <w:bookmarkEnd w:id="46"/>
      <w:bookmarkEnd w:id="47"/>
      <w:bookmarkEnd w:id="48"/>
      <w:bookmarkEnd w:id="49"/>
    </w:p>
    <w:p w14:paraId="07A429C5" w14:textId="7D4A7DDF" w:rsidR="00074AF0" w:rsidRPr="00656CC8" w:rsidRDefault="00CC000F" w:rsidP="00DF5869">
      <w:r w:rsidRPr="00656CC8">
        <w:t>Mark Rademakers</w:t>
      </w:r>
      <w:r w:rsidR="00074AF0" w:rsidRPr="00656CC8">
        <w:t xml:space="preserve"> is de interne verantwoordelijke voor het beheren van de CO</w:t>
      </w:r>
      <w:r w:rsidR="00074AF0" w:rsidRPr="00656CC8">
        <w:rPr>
          <w:vertAlign w:val="subscript"/>
        </w:rPr>
        <w:t>2</w:t>
      </w:r>
      <w:r w:rsidR="00074AF0" w:rsidRPr="00656CC8">
        <w:t xml:space="preserve">-Prestatieladder. </w:t>
      </w:r>
      <w:r w:rsidR="00150924" w:rsidRPr="00656CC8">
        <w:t>Deze persoon</w:t>
      </w:r>
      <w:r w:rsidR="00074AF0" w:rsidRPr="00656CC8">
        <w:t xml:space="preserve"> draagt verantwoordelijkheid voor het uitzetten van taken, toewijzen van verantwoordelijkheden en het rapporteren aan het management. Voor het opstellen van alle bijbehorende documentatie voor het behouden van niveau </w:t>
      </w:r>
      <w:r w:rsidR="001F4257" w:rsidRPr="00656CC8">
        <w:t>5</w:t>
      </w:r>
      <w:r w:rsidR="00074AF0" w:rsidRPr="00656CC8">
        <w:t xml:space="preserve"> op de CO</w:t>
      </w:r>
      <w:r w:rsidR="00074AF0" w:rsidRPr="00656CC8">
        <w:rPr>
          <w:vertAlign w:val="subscript"/>
        </w:rPr>
        <w:t>2</w:t>
      </w:r>
      <w:r w:rsidR="00074AF0" w:rsidRPr="00656CC8">
        <w:t>-Prestatieladder wordt de organisatie ondersteund door het adviesbureau De Duurzame Adviseurs.</w:t>
      </w:r>
    </w:p>
    <w:bookmarkEnd w:id="50"/>
    <w:p w14:paraId="3FE31487" w14:textId="77777777" w:rsidR="00F063DE" w:rsidRPr="00BA3E48" w:rsidRDefault="00F063DE" w:rsidP="00F063DE"/>
    <w:p w14:paraId="05974E19" w14:textId="77777777" w:rsidR="00F063DE" w:rsidRPr="00BA3E48" w:rsidRDefault="00F063DE" w:rsidP="005B1065">
      <w:pPr>
        <w:pStyle w:val="Kop2"/>
      </w:pPr>
      <w:bookmarkStart w:id="51" w:name="_Organizational_boundary_1"/>
      <w:bookmarkStart w:id="52" w:name="_Toc118736226"/>
      <w:bookmarkStart w:id="53" w:name="_Toc142472114"/>
      <w:bookmarkEnd w:id="51"/>
      <w:r w:rsidRPr="00BA3E48">
        <w:t>Organizational boundary</w:t>
      </w:r>
      <w:bookmarkEnd w:id="52"/>
      <w:bookmarkEnd w:id="53"/>
      <w:r w:rsidR="00A12A26" w:rsidRPr="00BA3E48">
        <w:t xml:space="preserve"> </w:t>
      </w:r>
    </w:p>
    <w:p w14:paraId="41D593B4" w14:textId="77777777" w:rsidR="00FE3BB0" w:rsidRPr="001F5604" w:rsidRDefault="00FE3BB0" w:rsidP="00FE3BB0">
      <w:r w:rsidRPr="001F5604">
        <w:t xml:space="preserve">De organizational boundary is opgesteld volgens de laterale methode zoals beschreven in </w:t>
      </w:r>
      <w:r w:rsidRPr="001F5604">
        <w:rPr>
          <w:i/>
          <w:iCs/>
        </w:rPr>
        <w:t>Handboek CO</w:t>
      </w:r>
      <w:r w:rsidRPr="001F5604">
        <w:rPr>
          <w:i/>
          <w:iCs/>
          <w:vertAlign w:val="subscript"/>
        </w:rPr>
        <w:t>2</w:t>
      </w:r>
      <w:r w:rsidRPr="001F5604">
        <w:rPr>
          <w:i/>
          <w:iCs/>
        </w:rPr>
        <w:t xml:space="preserve">-Prestatieladder 3.1, hoofdstuk 4. </w:t>
      </w:r>
      <w:r w:rsidRPr="001F5604">
        <w:t xml:space="preserve">Deze methode omvat deels de eisen van </w:t>
      </w:r>
      <w:r w:rsidRPr="001F5604">
        <w:rPr>
          <w:i/>
          <w:iCs/>
        </w:rPr>
        <w:t>Greenhouse Gas Protocol – A Corporate Accounting and Reporting Standard:2004, hoofdstuk 3</w:t>
      </w:r>
      <w:r w:rsidRPr="001F5604">
        <w:t>, en is deels maatwerk voor de CO</w:t>
      </w:r>
      <w:r w:rsidRPr="001F5604">
        <w:rPr>
          <w:vertAlign w:val="subscript"/>
        </w:rPr>
        <w:t>2</w:t>
      </w:r>
      <w:r w:rsidRPr="001F5604">
        <w:t xml:space="preserve">-Prestatieladder. </w:t>
      </w:r>
    </w:p>
    <w:p w14:paraId="58FA2796" w14:textId="77777777" w:rsidR="00506A00" w:rsidRPr="001F5604" w:rsidRDefault="00506A00" w:rsidP="00506A00"/>
    <w:p w14:paraId="0FCD8CAC" w14:textId="77777777" w:rsidR="00506A00" w:rsidRPr="001F5604" w:rsidRDefault="00506A00" w:rsidP="00506A00">
      <w:r w:rsidRPr="001F5604">
        <w:t>De organizational boundary zoals deze op het certificaat wordt vermeld is als volgt:</w:t>
      </w:r>
    </w:p>
    <w:p w14:paraId="5B9A5A88" w14:textId="77777777" w:rsidR="00506A00" w:rsidRPr="001F5604" w:rsidRDefault="00506A00" w:rsidP="00506A00"/>
    <w:p w14:paraId="4B8FE826" w14:textId="77777777" w:rsidR="00506A00" w:rsidRPr="001F5604" w:rsidRDefault="00506A00" w:rsidP="00506A00">
      <w:r w:rsidRPr="001F5604">
        <w:t>Naam: CityTec B.V.</w:t>
      </w:r>
    </w:p>
    <w:p w14:paraId="6AC9E45A" w14:textId="77777777" w:rsidR="00506A00" w:rsidRPr="001F5604" w:rsidRDefault="00506A00" w:rsidP="00506A00">
      <w:r w:rsidRPr="001F5604">
        <w:t>Plaats: Alblasserdam</w:t>
      </w:r>
    </w:p>
    <w:p w14:paraId="5E4A35C6" w14:textId="77777777" w:rsidR="00506A00" w:rsidRPr="001F5604" w:rsidRDefault="00506A00" w:rsidP="00506A00">
      <w:r w:rsidRPr="001F5604">
        <w:t>KvK-nummer: 24274516</w:t>
      </w:r>
    </w:p>
    <w:p w14:paraId="1F2DFE39" w14:textId="77777777" w:rsidR="00FE3BB0" w:rsidRPr="001F5604" w:rsidRDefault="00FE3BB0" w:rsidP="00FE3BB0"/>
    <w:p w14:paraId="427E8442" w14:textId="77777777" w:rsidR="00FE3BB0" w:rsidRPr="001F5604" w:rsidRDefault="00FE3BB0" w:rsidP="00FE3BB0">
      <w:r w:rsidRPr="001F5604">
        <w:t xml:space="preserve">De volledige analyse is te vinden in Bijlage A van dit document. </w:t>
      </w:r>
    </w:p>
    <w:p w14:paraId="0C6416A7" w14:textId="77777777" w:rsidR="00F063DE" w:rsidRPr="00BA3E48" w:rsidRDefault="00F063DE" w:rsidP="00F063DE"/>
    <w:p w14:paraId="76C5B345" w14:textId="77777777" w:rsidR="00F063DE" w:rsidRDefault="00F063DE" w:rsidP="005B1065">
      <w:pPr>
        <w:pStyle w:val="Kop2"/>
      </w:pPr>
      <w:bookmarkStart w:id="54" w:name="_Toc118736227"/>
      <w:bookmarkStart w:id="55" w:name="_Toc142472115"/>
      <w:r w:rsidRPr="00BA3E48">
        <w:t>Organisatiegrootte</w:t>
      </w:r>
      <w:bookmarkEnd w:id="54"/>
      <w:bookmarkEnd w:id="55"/>
    </w:p>
    <w:p w14:paraId="197B5D86" w14:textId="77777777" w:rsidR="00596512" w:rsidRDefault="00596512" w:rsidP="005B1065">
      <w:pPr>
        <w:pStyle w:val="Kop3"/>
      </w:pPr>
      <w:bookmarkStart w:id="56" w:name="_Toc118736228"/>
      <w:bookmarkStart w:id="57" w:name="_Toc142472116"/>
      <w:r w:rsidRPr="00BA3E48">
        <w:t>Groottebepaling</w:t>
      </w:r>
      <w:bookmarkEnd w:id="56"/>
      <w:bookmarkEnd w:id="57"/>
    </w:p>
    <w:p w14:paraId="2CBF901C" w14:textId="592D0BA4" w:rsidR="006419DB" w:rsidRPr="00663441" w:rsidRDefault="00424F91" w:rsidP="00982546">
      <w:pPr>
        <w:rPr>
          <w:color w:val="000000" w:themeColor="text1"/>
        </w:rPr>
      </w:pPr>
      <w:r>
        <w:t xml:space="preserve">De </w:t>
      </w:r>
      <w:r w:rsidRPr="006C3145">
        <w:t>CO</w:t>
      </w:r>
      <w:r w:rsidRPr="006C3145">
        <w:rPr>
          <w:vertAlign w:val="subscript"/>
        </w:rPr>
        <w:t>2</w:t>
      </w:r>
      <w:r>
        <w:t>-Prestatieladder onderscheidt kleine</w:t>
      </w:r>
      <w:r w:rsidR="00B84BE0">
        <w:t xml:space="preserve">, middelgrote en grote organisaties op basis van </w:t>
      </w:r>
      <w:r w:rsidR="00B84BE0" w:rsidRPr="006C3145">
        <w:t>CO</w:t>
      </w:r>
      <w:r w:rsidR="00B84BE0" w:rsidRPr="006C3145">
        <w:rPr>
          <w:vertAlign w:val="subscript"/>
        </w:rPr>
        <w:t>2</w:t>
      </w:r>
      <w:r w:rsidR="00B84BE0">
        <w:t>-uitstoot</w:t>
      </w:r>
      <w:r w:rsidR="00C24C3E">
        <w:t xml:space="preserve"> binnen de vastgestelde organizational boundary</w:t>
      </w:r>
      <w:r w:rsidR="00B84BE0">
        <w:t xml:space="preserve">. </w:t>
      </w:r>
      <w:r w:rsidR="00D209B6">
        <w:t xml:space="preserve">Dit wordt gedaan volgens onderstaande tabel. </w:t>
      </w:r>
      <w:r w:rsidR="009D4AF7">
        <w:t xml:space="preserve">Hierbij wordt eerst vastgesteld </w:t>
      </w:r>
      <w:r w:rsidR="00663441">
        <w:t xml:space="preserve">of de organisatie behoort tot de categorie “diensten” of tot de </w:t>
      </w:r>
      <w:r w:rsidR="00663441" w:rsidRPr="009962B9">
        <w:t>categorie “werken/leveringen</w:t>
      </w:r>
      <w:r w:rsidR="00F26F7A" w:rsidRPr="009962B9">
        <w:t>” (conform Richtlijn 2014/24/EU)</w:t>
      </w:r>
      <w:r w:rsidR="00AD08B3" w:rsidRPr="009962B9">
        <w:t xml:space="preserve">. </w:t>
      </w:r>
      <w:r w:rsidR="009962B9" w:rsidRPr="009962B9">
        <w:t xml:space="preserve">CityTec </w:t>
      </w:r>
      <w:r w:rsidR="00663441" w:rsidRPr="009962B9">
        <w:t xml:space="preserve">behoort tot de categorie diensten. </w:t>
      </w:r>
    </w:p>
    <w:p w14:paraId="4C083F03" w14:textId="77777777" w:rsidR="00045CD5" w:rsidRDefault="00045CD5" w:rsidP="00F46F19"/>
    <w:tbl>
      <w:tblPr>
        <w:tblStyle w:val="Tabelraster"/>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940"/>
        <w:gridCol w:w="2693"/>
        <w:gridCol w:w="4349"/>
      </w:tblGrid>
      <w:tr w:rsidR="00045CD5" w:rsidRPr="0006634C" w14:paraId="54ECCE16" w14:textId="77777777" w:rsidTr="009D4AF7">
        <w:tc>
          <w:tcPr>
            <w:tcW w:w="1080" w:type="pct"/>
            <w:tcBorders>
              <w:top w:val="single" w:sz="36" w:space="0" w:color="FFFFFF" w:themeColor="background1"/>
              <w:left w:val="single" w:sz="36" w:space="0" w:color="FFFFFF" w:themeColor="background1"/>
              <w:bottom w:val="single" w:sz="36" w:space="0" w:color="FFFFFF" w:themeColor="background1"/>
            </w:tcBorders>
            <w:shd w:val="clear" w:color="auto" w:fill="6ABE93"/>
          </w:tcPr>
          <w:p w14:paraId="736642CF" w14:textId="77777777" w:rsidR="00045CD5" w:rsidRPr="00F37C18" w:rsidRDefault="00045CD5" w:rsidP="0065303F">
            <w:pPr>
              <w:jc w:val="center"/>
              <w:rPr>
                <w:b/>
                <w:caps/>
                <w:szCs w:val="20"/>
              </w:rPr>
            </w:pPr>
          </w:p>
        </w:tc>
        <w:tc>
          <w:tcPr>
            <w:tcW w:w="1499" w:type="pct"/>
            <w:tcBorders>
              <w:top w:val="single" w:sz="36" w:space="0" w:color="FFFFFF" w:themeColor="background1"/>
              <w:bottom w:val="single" w:sz="36" w:space="0" w:color="FFFFFF" w:themeColor="background1"/>
            </w:tcBorders>
            <w:shd w:val="clear" w:color="auto" w:fill="6ABE93"/>
          </w:tcPr>
          <w:p w14:paraId="351DEE8B" w14:textId="77777777" w:rsidR="00045CD5" w:rsidRPr="00F37C18" w:rsidRDefault="00045CD5" w:rsidP="0065303F">
            <w:pPr>
              <w:jc w:val="center"/>
              <w:rPr>
                <w:b/>
                <w:caps/>
                <w:szCs w:val="20"/>
              </w:rPr>
            </w:pPr>
            <w:r w:rsidRPr="00F37C18">
              <w:rPr>
                <w:b/>
                <w:caps/>
                <w:szCs w:val="20"/>
              </w:rPr>
              <w:t>Diensten</w:t>
            </w:r>
          </w:p>
        </w:tc>
        <w:tc>
          <w:tcPr>
            <w:tcW w:w="2421" w:type="pct"/>
            <w:tcBorders>
              <w:top w:val="single" w:sz="36" w:space="0" w:color="FFFFFF" w:themeColor="background1"/>
              <w:bottom w:val="single" w:sz="36" w:space="0" w:color="FFFFFF" w:themeColor="background1"/>
              <w:right w:val="single" w:sz="36" w:space="0" w:color="FFFFFF" w:themeColor="background1"/>
            </w:tcBorders>
            <w:shd w:val="clear" w:color="auto" w:fill="6ABE93"/>
          </w:tcPr>
          <w:p w14:paraId="58552156" w14:textId="77777777" w:rsidR="00045CD5" w:rsidRPr="00F37C18" w:rsidRDefault="00045CD5" w:rsidP="0065303F">
            <w:pPr>
              <w:jc w:val="center"/>
              <w:rPr>
                <w:b/>
                <w:caps/>
                <w:szCs w:val="20"/>
              </w:rPr>
            </w:pPr>
            <w:r w:rsidRPr="00F37C18">
              <w:rPr>
                <w:b/>
                <w:caps/>
                <w:szCs w:val="20"/>
              </w:rPr>
              <w:t>Werken/leveringen</w:t>
            </w:r>
          </w:p>
        </w:tc>
      </w:tr>
      <w:tr w:rsidR="00045CD5" w:rsidRPr="00AD4F9C" w14:paraId="63574C5D" w14:textId="77777777" w:rsidTr="00065E58">
        <w:tc>
          <w:tcPr>
            <w:tcW w:w="1080" w:type="pct"/>
            <w:tcBorders>
              <w:top w:val="single" w:sz="36" w:space="0" w:color="FFFFFF" w:themeColor="background1"/>
            </w:tcBorders>
            <w:shd w:val="clear" w:color="auto" w:fill="E2EFD9" w:themeFill="accent6" w:themeFillTint="33"/>
          </w:tcPr>
          <w:p w14:paraId="1BAB06C6" w14:textId="77777777" w:rsidR="00045CD5" w:rsidRPr="00F37C18" w:rsidRDefault="00045CD5" w:rsidP="0065303F">
            <w:pPr>
              <w:rPr>
                <w:b/>
                <w:bCs/>
                <w:sz w:val="18"/>
                <w:szCs w:val="18"/>
              </w:rPr>
            </w:pPr>
            <w:r w:rsidRPr="00F37C18">
              <w:rPr>
                <w:b/>
                <w:bCs/>
                <w:sz w:val="18"/>
                <w:szCs w:val="18"/>
              </w:rPr>
              <w:t>Kleine organisatie</w:t>
            </w:r>
            <w:r w:rsidR="0025798F">
              <w:rPr>
                <w:b/>
                <w:bCs/>
                <w:sz w:val="18"/>
                <w:szCs w:val="18"/>
              </w:rPr>
              <w:t xml:space="preserve"> (K)</w:t>
            </w:r>
          </w:p>
        </w:tc>
        <w:tc>
          <w:tcPr>
            <w:tcW w:w="1499" w:type="pct"/>
            <w:tcBorders>
              <w:top w:val="single" w:sz="36" w:space="0" w:color="FFFFFF" w:themeColor="background1"/>
            </w:tcBorders>
            <w:shd w:val="clear" w:color="auto" w:fill="E2EFD9" w:themeFill="accent6" w:themeFillTint="33"/>
          </w:tcPr>
          <w:p w14:paraId="0B2F992C" w14:textId="77777777" w:rsidR="00045CD5" w:rsidRPr="00194893" w:rsidRDefault="00045CD5" w:rsidP="0014503E">
            <w:pPr>
              <w:jc w:val="left"/>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500 ton per jaar.</w:t>
            </w:r>
          </w:p>
        </w:tc>
        <w:tc>
          <w:tcPr>
            <w:tcW w:w="2421" w:type="pct"/>
            <w:tcBorders>
              <w:top w:val="single" w:sz="36" w:space="0" w:color="FFFFFF" w:themeColor="background1"/>
            </w:tcBorders>
            <w:shd w:val="clear" w:color="auto" w:fill="E2EFD9" w:themeFill="accent6" w:themeFillTint="33"/>
          </w:tcPr>
          <w:p w14:paraId="3C13EC26" w14:textId="77777777" w:rsidR="00045CD5" w:rsidRPr="00194893" w:rsidRDefault="00045CD5" w:rsidP="0014503E">
            <w:pPr>
              <w:jc w:val="left"/>
              <w:rPr>
                <w:sz w:val="18"/>
                <w:szCs w:val="18"/>
              </w:rPr>
            </w:pPr>
            <w:r w:rsidRPr="00194893">
              <w:rPr>
                <w:sz w:val="18"/>
                <w:szCs w:val="18"/>
              </w:rPr>
              <w:t>Totale CO</w:t>
            </w:r>
            <w:r w:rsidRPr="00194893">
              <w:rPr>
                <w:sz w:val="18"/>
                <w:szCs w:val="18"/>
                <w:vertAlign w:val="subscript"/>
              </w:rPr>
              <w:t>2</w:t>
            </w:r>
            <w:r w:rsidRPr="00194893">
              <w:rPr>
                <w:sz w:val="18"/>
                <w:szCs w:val="18"/>
              </w:rPr>
              <w:t xml:space="preserve">-uitstoot </w:t>
            </w:r>
            <w:r w:rsidRPr="008C3E6A">
              <w:rPr>
                <w:i/>
                <w:iCs/>
                <w:sz w:val="18"/>
                <w:szCs w:val="18"/>
              </w:rPr>
              <w:t>van de kantoren en bedrijfsruimten</w:t>
            </w:r>
            <w:r w:rsidRPr="00194893">
              <w:rPr>
                <w:sz w:val="18"/>
                <w:szCs w:val="18"/>
              </w:rPr>
              <w:t xml:space="preserve"> bedraagt maximaal (≤) 500 ton per jaar, </w:t>
            </w:r>
            <w:r w:rsidRPr="00B4405E">
              <w:rPr>
                <w:b/>
                <w:bCs/>
                <w:sz w:val="18"/>
                <w:szCs w:val="18"/>
                <w:u w:val="single"/>
              </w:rPr>
              <w:t>en</w:t>
            </w:r>
            <w:r w:rsidRPr="00194893">
              <w:rPr>
                <w:sz w:val="18"/>
                <w:szCs w:val="18"/>
              </w:rPr>
              <w:t xml:space="preserve"> de totale CO</w:t>
            </w:r>
            <w:r w:rsidRPr="00194893">
              <w:rPr>
                <w:sz w:val="18"/>
                <w:szCs w:val="18"/>
                <w:vertAlign w:val="subscript"/>
              </w:rPr>
              <w:t>2</w:t>
            </w:r>
            <w:r w:rsidRPr="00194893">
              <w:rPr>
                <w:sz w:val="18"/>
                <w:szCs w:val="18"/>
              </w:rPr>
              <w:t xml:space="preserve">-uitstoot </w:t>
            </w:r>
            <w:r w:rsidRPr="008C3E6A">
              <w:rPr>
                <w:i/>
                <w:iCs/>
                <w:sz w:val="18"/>
                <w:szCs w:val="18"/>
              </w:rPr>
              <w:t>van</w:t>
            </w:r>
            <w:r w:rsidRPr="00194893">
              <w:rPr>
                <w:sz w:val="18"/>
                <w:szCs w:val="18"/>
              </w:rPr>
              <w:t xml:space="preserve"> </w:t>
            </w:r>
            <w:r w:rsidRPr="008C3E6A">
              <w:rPr>
                <w:i/>
                <w:iCs/>
                <w:sz w:val="18"/>
                <w:szCs w:val="18"/>
              </w:rPr>
              <w:t>alle bouwplaatsen en productielocaties</w:t>
            </w:r>
            <w:r w:rsidRPr="00194893">
              <w:rPr>
                <w:sz w:val="18"/>
                <w:szCs w:val="18"/>
              </w:rPr>
              <w:t xml:space="preserve"> bedraagt maximaal (≤) 2.000 ton per jaar.</w:t>
            </w:r>
          </w:p>
        </w:tc>
      </w:tr>
      <w:tr w:rsidR="00045CD5" w:rsidRPr="00AD4F9C" w14:paraId="391E2FA7" w14:textId="77777777" w:rsidTr="009D4AF7">
        <w:tc>
          <w:tcPr>
            <w:tcW w:w="1080" w:type="pct"/>
            <w:shd w:val="clear" w:color="auto" w:fill="F2F2F2" w:themeFill="background1" w:themeFillShade="F2"/>
          </w:tcPr>
          <w:p w14:paraId="27196E78" w14:textId="77777777" w:rsidR="00045CD5" w:rsidRPr="00F37C18" w:rsidRDefault="00045CD5" w:rsidP="0065303F">
            <w:pPr>
              <w:rPr>
                <w:b/>
                <w:bCs/>
                <w:sz w:val="18"/>
                <w:szCs w:val="18"/>
              </w:rPr>
            </w:pPr>
            <w:r w:rsidRPr="00F37C18">
              <w:rPr>
                <w:b/>
                <w:bCs/>
                <w:sz w:val="18"/>
                <w:szCs w:val="18"/>
              </w:rPr>
              <w:t>Middelgrote organisatie</w:t>
            </w:r>
            <w:r w:rsidR="0025798F">
              <w:rPr>
                <w:b/>
                <w:bCs/>
                <w:sz w:val="18"/>
                <w:szCs w:val="18"/>
              </w:rPr>
              <w:t xml:space="preserve"> (M)</w:t>
            </w:r>
          </w:p>
        </w:tc>
        <w:tc>
          <w:tcPr>
            <w:tcW w:w="1499" w:type="pct"/>
            <w:shd w:val="clear" w:color="auto" w:fill="F2F2F2" w:themeFill="background1" w:themeFillShade="F2"/>
          </w:tcPr>
          <w:p w14:paraId="15AFAD8A" w14:textId="77777777" w:rsidR="00045CD5" w:rsidRPr="00194893" w:rsidRDefault="00045CD5" w:rsidP="0014503E">
            <w:pPr>
              <w:jc w:val="left"/>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2.500 ton per jaar.</w:t>
            </w:r>
          </w:p>
        </w:tc>
        <w:tc>
          <w:tcPr>
            <w:tcW w:w="2421" w:type="pct"/>
            <w:shd w:val="clear" w:color="auto" w:fill="F2F2F2" w:themeFill="background1" w:themeFillShade="F2"/>
          </w:tcPr>
          <w:p w14:paraId="0FA1469A" w14:textId="77777777" w:rsidR="00045CD5" w:rsidRPr="00194893" w:rsidRDefault="00045CD5" w:rsidP="0014503E">
            <w:pPr>
              <w:jc w:val="left"/>
              <w:rPr>
                <w:sz w:val="18"/>
                <w:szCs w:val="18"/>
              </w:rPr>
            </w:pPr>
            <w:r w:rsidRPr="00194893">
              <w:rPr>
                <w:sz w:val="18"/>
                <w:szCs w:val="18"/>
              </w:rPr>
              <w:t>Totale CO</w:t>
            </w:r>
            <w:r w:rsidRPr="00194893">
              <w:rPr>
                <w:sz w:val="18"/>
                <w:szCs w:val="18"/>
                <w:vertAlign w:val="subscript"/>
              </w:rPr>
              <w:t>2</w:t>
            </w:r>
            <w:r w:rsidRPr="00194893">
              <w:rPr>
                <w:sz w:val="18"/>
                <w:szCs w:val="18"/>
              </w:rPr>
              <w:t xml:space="preserve">-uitstoot </w:t>
            </w:r>
            <w:r w:rsidRPr="008C3E6A">
              <w:rPr>
                <w:i/>
                <w:iCs/>
                <w:sz w:val="18"/>
                <w:szCs w:val="18"/>
              </w:rPr>
              <w:t>van de kantoren en bedrijfsruimten</w:t>
            </w:r>
            <w:r w:rsidRPr="00194893">
              <w:rPr>
                <w:sz w:val="18"/>
                <w:szCs w:val="18"/>
              </w:rPr>
              <w:t xml:space="preserve"> bedraagt maximaal (≤) 2.500 ton per jaar, </w:t>
            </w:r>
            <w:r w:rsidRPr="00B4405E">
              <w:rPr>
                <w:b/>
                <w:bCs/>
                <w:sz w:val="18"/>
                <w:szCs w:val="18"/>
                <w:u w:val="single"/>
              </w:rPr>
              <w:t>en</w:t>
            </w:r>
            <w:r w:rsidRPr="00194893">
              <w:rPr>
                <w:sz w:val="18"/>
                <w:szCs w:val="18"/>
              </w:rPr>
              <w:t xml:space="preserve"> de totale CO</w:t>
            </w:r>
            <w:r w:rsidRPr="00194893">
              <w:rPr>
                <w:sz w:val="18"/>
                <w:szCs w:val="18"/>
                <w:vertAlign w:val="subscript"/>
              </w:rPr>
              <w:t>2</w:t>
            </w:r>
            <w:r w:rsidRPr="00194893">
              <w:rPr>
                <w:sz w:val="18"/>
                <w:szCs w:val="18"/>
              </w:rPr>
              <w:t xml:space="preserve">-uitstoot </w:t>
            </w:r>
            <w:r w:rsidRPr="008C3E6A">
              <w:rPr>
                <w:i/>
                <w:iCs/>
                <w:sz w:val="18"/>
                <w:szCs w:val="18"/>
              </w:rPr>
              <w:t>van</w:t>
            </w:r>
            <w:r w:rsidRPr="00194893">
              <w:rPr>
                <w:sz w:val="18"/>
                <w:szCs w:val="18"/>
              </w:rPr>
              <w:t xml:space="preserve"> </w:t>
            </w:r>
            <w:r w:rsidRPr="008C3E6A">
              <w:rPr>
                <w:i/>
                <w:iCs/>
                <w:sz w:val="18"/>
                <w:szCs w:val="18"/>
              </w:rPr>
              <w:t>alle bouwplaatsen en productielocaties</w:t>
            </w:r>
            <w:r w:rsidRPr="00194893">
              <w:rPr>
                <w:sz w:val="18"/>
                <w:szCs w:val="18"/>
              </w:rPr>
              <w:t xml:space="preserve"> bedraagt maximaal (≤) 10.000 ton per jaar.</w:t>
            </w:r>
          </w:p>
        </w:tc>
      </w:tr>
      <w:tr w:rsidR="00045CD5" w:rsidRPr="00AD4F9C" w14:paraId="6E9B9874" w14:textId="77777777" w:rsidTr="009D4AF7">
        <w:tc>
          <w:tcPr>
            <w:tcW w:w="1080" w:type="pct"/>
            <w:shd w:val="clear" w:color="auto" w:fill="F2F2F2" w:themeFill="background1" w:themeFillShade="F2"/>
          </w:tcPr>
          <w:p w14:paraId="5616EBDD" w14:textId="77777777" w:rsidR="00045CD5" w:rsidRPr="00F37C18" w:rsidRDefault="00045CD5" w:rsidP="0065303F">
            <w:pPr>
              <w:rPr>
                <w:b/>
                <w:bCs/>
                <w:sz w:val="18"/>
                <w:szCs w:val="18"/>
              </w:rPr>
            </w:pPr>
            <w:r w:rsidRPr="00F37C18">
              <w:rPr>
                <w:b/>
                <w:bCs/>
                <w:sz w:val="18"/>
                <w:szCs w:val="18"/>
              </w:rPr>
              <w:t>Grote organisatie</w:t>
            </w:r>
            <w:r w:rsidR="0025798F">
              <w:rPr>
                <w:b/>
                <w:bCs/>
                <w:sz w:val="18"/>
                <w:szCs w:val="18"/>
              </w:rPr>
              <w:t xml:space="preserve"> (G)</w:t>
            </w:r>
          </w:p>
        </w:tc>
        <w:tc>
          <w:tcPr>
            <w:tcW w:w="1499" w:type="pct"/>
            <w:shd w:val="clear" w:color="auto" w:fill="F2F2F2" w:themeFill="background1" w:themeFillShade="F2"/>
          </w:tcPr>
          <w:p w14:paraId="48636117" w14:textId="77777777" w:rsidR="00045CD5" w:rsidRPr="00194893" w:rsidRDefault="00045CD5" w:rsidP="0014503E">
            <w:pPr>
              <w:jc w:val="left"/>
              <w:rPr>
                <w:sz w:val="18"/>
                <w:szCs w:val="18"/>
              </w:rPr>
            </w:pPr>
            <w:r w:rsidRPr="00194893">
              <w:rPr>
                <w:sz w:val="18"/>
                <w:szCs w:val="18"/>
              </w:rPr>
              <w:t>Totale CO</w:t>
            </w:r>
            <w:r w:rsidRPr="00194893">
              <w:rPr>
                <w:sz w:val="18"/>
                <w:szCs w:val="18"/>
                <w:vertAlign w:val="subscript"/>
              </w:rPr>
              <w:t>2</w:t>
            </w:r>
            <w:r w:rsidRPr="00194893">
              <w:rPr>
                <w:sz w:val="18"/>
                <w:szCs w:val="18"/>
              </w:rPr>
              <w:t>-uitstoot bedraagt meer dan (&gt;) 2.500 ton per jaar.</w:t>
            </w:r>
          </w:p>
        </w:tc>
        <w:tc>
          <w:tcPr>
            <w:tcW w:w="2421" w:type="pct"/>
            <w:shd w:val="clear" w:color="auto" w:fill="F2F2F2" w:themeFill="background1" w:themeFillShade="F2"/>
          </w:tcPr>
          <w:p w14:paraId="27908719" w14:textId="77777777" w:rsidR="00045CD5" w:rsidRPr="00194893" w:rsidRDefault="00B4405E" w:rsidP="0014503E">
            <w:pPr>
              <w:keepNext/>
              <w:jc w:val="left"/>
              <w:rPr>
                <w:sz w:val="18"/>
                <w:szCs w:val="18"/>
              </w:rPr>
            </w:pPr>
            <w:r>
              <w:rPr>
                <w:sz w:val="18"/>
                <w:szCs w:val="18"/>
              </w:rPr>
              <w:t>Overig</w:t>
            </w:r>
          </w:p>
        </w:tc>
      </w:tr>
    </w:tbl>
    <w:p w14:paraId="62349A31" w14:textId="77777777" w:rsidR="00045CD5" w:rsidRPr="00F46F19" w:rsidRDefault="00045CD5" w:rsidP="00F46F19"/>
    <w:p w14:paraId="170C33FA" w14:textId="0500622A" w:rsidR="00F063DE" w:rsidRDefault="005401DA" w:rsidP="00982546">
      <w:r>
        <w:t xml:space="preserve">De </w:t>
      </w:r>
      <w:r w:rsidRPr="006C3145">
        <w:t>CO</w:t>
      </w:r>
      <w:r w:rsidRPr="006C3145">
        <w:rPr>
          <w:vertAlign w:val="subscript"/>
        </w:rPr>
        <w:t>2</w:t>
      </w:r>
      <w:r>
        <w:t xml:space="preserve">-uitstoot is te vinden in de </w:t>
      </w:r>
      <w:r w:rsidRPr="006C3145">
        <w:t>CO</w:t>
      </w:r>
      <w:r w:rsidRPr="006C3145">
        <w:rPr>
          <w:vertAlign w:val="subscript"/>
        </w:rPr>
        <w:t>2</w:t>
      </w:r>
      <w:r>
        <w:t xml:space="preserve">-emissie-inventaris rapportage in het document </w:t>
      </w:r>
      <w:r w:rsidR="005E67E4">
        <w:t>“</w:t>
      </w:r>
      <w:r w:rsidR="005E67E4" w:rsidRPr="006C3145">
        <w:t>CO</w:t>
      </w:r>
      <w:r w:rsidR="005E67E4" w:rsidRPr="006C3145">
        <w:rPr>
          <w:vertAlign w:val="subscript"/>
        </w:rPr>
        <w:t>2</w:t>
      </w:r>
      <w:r w:rsidR="005E67E4">
        <w:t>-</w:t>
      </w:r>
      <w:r w:rsidR="00C97DD8">
        <w:t>d</w:t>
      </w:r>
      <w:r w:rsidR="005E67E4">
        <w:t>ashboard”</w:t>
      </w:r>
      <w:r w:rsidR="00C93F49">
        <w:t xml:space="preserve">. Met deze uitstoot valt de organisatie in de </w:t>
      </w:r>
      <w:r w:rsidR="00C93F49" w:rsidRPr="00F73E06">
        <w:t>categorie klein</w:t>
      </w:r>
      <w:r w:rsidR="00F87465" w:rsidRPr="00F73E06">
        <w:t xml:space="preserve">. </w:t>
      </w:r>
    </w:p>
    <w:p w14:paraId="43FC98AD" w14:textId="77777777" w:rsidR="00320E73" w:rsidRDefault="00320E73" w:rsidP="00982546">
      <w:pPr>
        <w:rPr>
          <w:color w:val="000000" w:themeColor="text1"/>
        </w:rPr>
      </w:pPr>
    </w:p>
    <w:p w14:paraId="20EFFF85" w14:textId="77777777" w:rsidR="00320E73" w:rsidRPr="003A6521" w:rsidRDefault="00320E73" w:rsidP="00320E73">
      <w:pPr>
        <w:pStyle w:val="Kop3"/>
        <w:numPr>
          <w:ilvl w:val="2"/>
          <w:numId w:val="31"/>
        </w:numPr>
      </w:pPr>
      <w:r w:rsidRPr="00BA3E48">
        <w:lastRenderedPageBreak/>
        <w:t>V</w:t>
      </w:r>
      <w:r>
        <w:t>rijstelling van</w:t>
      </w:r>
      <w:r w:rsidRPr="00BA3E48">
        <w:t xml:space="preserve"> normeisen </w:t>
      </w:r>
    </w:p>
    <w:p w14:paraId="69ED8925" w14:textId="2B0210E7" w:rsidR="00320E73" w:rsidRDefault="00B07AA3" w:rsidP="00320E73">
      <w:r>
        <w:t xml:space="preserve">Door de vastgestelde groottecategorie krijgt de organisatie vrijstelling van de volgende normeisen: </w:t>
      </w:r>
      <w:r w:rsidR="00320E73">
        <w:t>5.A.2-2, 5.A.3, 4.C, 5.C, 4.D en 5D. Voor eis 4.A.1 hoeft de organisatie één ketenanalyse op te stellen.</w:t>
      </w:r>
    </w:p>
    <w:p w14:paraId="1F0BCA08" w14:textId="77777777" w:rsidR="00F63A7F" w:rsidRPr="00BA3E48" w:rsidRDefault="00F63A7F" w:rsidP="009261CE"/>
    <w:p w14:paraId="22525D70" w14:textId="77777777" w:rsidR="00113E7A" w:rsidRDefault="00113E7A" w:rsidP="005B1065">
      <w:pPr>
        <w:pStyle w:val="Kop2"/>
      </w:pPr>
      <w:bookmarkStart w:id="58" w:name="_Projecten_met_gunningvoordeel_1"/>
      <w:bookmarkStart w:id="59" w:name="_Toc118736230"/>
      <w:bookmarkStart w:id="60" w:name="_Toc142472118"/>
      <w:bookmarkEnd w:id="58"/>
      <w:r>
        <w:t>Projecten met gunningvoordeel</w:t>
      </w:r>
      <w:bookmarkEnd w:id="59"/>
      <w:bookmarkEnd w:id="60"/>
    </w:p>
    <w:p w14:paraId="4CD764EF" w14:textId="77777777" w:rsidR="00CA1451" w:rsidRPr="00F520DA" w:rsidRDefault="00CA1451" w:rsidP="00F325DF">
      <w:r w:rsidRPr="00F520DA">
        <w:t>Een project met gunningvoordeel is een project van een organisatie waarbij de CO2-Prestatieladder een rol heeft gespeeld in de aanbesteding. Hierbij is het niet relevant of het gunningvoordeel wel of niet doorslaggevend is geweest bij het verkrijgen van de opdracht, of op welke manier de CO2-Prestatieladder in de aanbesteding is gevraagd.</w:t>
      </w:r>
    </w:p>
    <w:p w14:paraId="7E47F718" w14:textId="77777777" w:rsidR="00CA1451" w:rsidRPr="00F520DA" w:rsidRDefault="00CA1451" w:rsidP="00F520DA"/>
    <w:p w14:paraId="7B014FBB" w14:textId="1C6F9853" w:rsidR="00777E37" w:rsidRPr="00F520DA" w:rsidRDefault="00CA1451" w:rsidP="00777E37">
      <w:r w:rsidRPr="00F520DA">
        <w:t xml:space="preserve">Met deze definitie in het achterhoofd, </w:t>
      </w:r>
      <w:r w:rsidR="00777E37" w:rsidRPr="00F520DA">
        <w:t>liep</w:t>
      </w:r>
      <w:r w:rsidR="009B4E7B" w:rsidRPr="00F520DA">
        <w:t xml:space="preserve">en 5 </w:t>
      </w:r>
      <w:r w:rsidR="00777E37" w:rsidRPr="00F520DA">
        <w:t>project</w:t>
      </w:r>
      <w:r w:rsidR="009B4E7B" w:rsidRPr="00F520DA">
        <w:t>en</w:t>
      </w:r>
      <w:r w:rsidR="00777E37" w:rsidRPr="00F520DA">
        <w:t xml:space="preserve"> met gunningvoordeel in het rapportagejaar. Dit is:</w:t>
      </w:r>
    </w:p>
    <w:p w14:paraId="7C5CBCE1" w14:textId="77777777" w:rsidR="00777E37" w:rsidRPr="00F520DA" w:rsidRDefault="00777E37" w:rsidP="00777E37"/>
    <w:p w14:paraId="116AF104" w14:textId="77777777" w:rsidR="00465090" w:rsidRPr="00F520DA" w:rsidRDefault="00465090" w:rsidP="00F520DA">
      <w:pPr>
        <w:pStyle w:val="Lijstalinea"/>
        <w:numPr>
          <w:ilvl w:val="0"/>
          <w:numId w:val="42"/>
        </w:numPr>
      </w:pPr>
      <w:r w:rsidRPr="00F520DA">
        <w:t>Leiderdorp, Oestgeest, Zoeterwoude Onderh. &amp; Beheer onderhoud en vervanging OVL</w:t>
      </w:r>
    </w:p>
    <w:p w14:paraId="7B18D4F5" w14:textId="77777777" w:rsidR="00595113" w:rsidRPr="00F520DA" w:rsidRDefault="00595113" w:rsidP="00F520DA">
      <w:pPr>
        <w:pStyle w:val="Lijstalinea"/>
        <w:numPr>
          <w:ilvl w:val="0"/>
          <w:numId w:val="42"/>
        </w:numPr>
      </w:pPr>
      <w:r w:rsidRPr="00F520DA">
        <w:t>Waterschap Hollandse Delta</w:t>
      </w:r>
    </w:p>
    <w:p w14:paraId="6062DFD0" w14:textId="66161110" w:rsidR="00595113" w:rsidRPr="00F520DA" w:rsidRDefault="000C29DD" w:rsidP="00F520DA">
      <w:pPr>
        <w:pStyle w:val="Lijstalinea"/>
        <w:numPr>
          <w:ilvl w:val="0"/>
          <w:numId w:val="42"/>
        </w:numPr>
      </w:pPr>
      <w:r>
        <w:t>Westerwolde</w:t>
      </w:r>
    </w:p>
    <w:p w14:paraId="7A6121FF" w14:textId="77777777" w:rsidR="00AB5148" w:rsidRPr="00F520DA" w:rsidRDefault="00AB5148" w:rsidP="00F520DA">
      <w:pPr>
        <w:pStyle w:val="Lijstalinea"/>
        <w:numPr>
          <w:ilvl w:val="0"/>
          <w:numId w:val="42"/>
        </w:numPr>
      </w:pPr>
      <w:r w:rsidRPr="00F520DA">
        <w:t>Rotterdam Onderhoud OVL</w:t>
      </w:r>
    </w:p>
    <w:p w14:paraId="7573E716" w14:textId="77777777" w:rsidR="00F520DA" w:rsidRPr="00F520DA" w:rsidRDefault="00F520DA" w:rsidP="00F520DA">
      <w:pPr>
        <w:pStyle w:val="Lijstalinea"/>
        <w:numPr>
          <w:ilvl w:val="0"/>
          <w:numId w:val="42"/>
        </w:numPr>
      </w:pPr>
      <w:r w:rsidRPr="00F520DA">
        <w:t>LEK-Merwede</w:t>
      </w:r>
    </w:p>
    <w:p w14:paraId="0CC6FF00" w14:textId="73A1634A" w:rsidR="00777E37" w:rsidRPr="00F520DA" w:rsidRDefault="00777E37" w:rsidP="00F520DA"/>
    <w:p w14:paraId="28CBBDF7" w14:textId="77777777" w:rsidR="002B76E8" w:rsidRPr="00F520DA" w:rsidRDefault="002B76E8" w:rsidP="002B76E8"/>
    <w:p w14:paraId="464CD2BB" w14:textId="73409EF8" w:rsidR="008D679C" w:rsidRDefault="008D679C" w:rsidP="008D679C">
      <w:r w:rsidRPr="00F520DA">
        <w:t>In de onderstaande tabel wordt de footprint</w:t>
      </w:r>
      <w:r w:rsidR="00033064">
        <w:t>s</w:t>
      </w:r>
      <w:r w:rsidRPr="00F520DA">
        <w:t xml:space="preserve"> van </w:t>
      </w:r>
      <w:r w:rsidR="00033064">
        <w:t>de projecten met gunnigvoordeel gepresenteerd</w:t>
      </w:r>
      <w:r w:rsidR="008D5633">
        <w:t xml:space="preserve">: </w:t>
      </w:r>
    </w:p>
    <w:p w14:paraId="0165B727" w14:textId="77777777" w:rsidR="008D5633" w:rsidRPr="008D5633" w:rsidRDefault="008D5633" w:rsidP="001A62AF">
      <w:pPr>
        <w:pStyle w:val="Kop2"/>
        <w:numPr>
          <w:ilvl w:val="0"/>
          <w:numId w:val="0"/>
        </w:numPr>
      </w:pPr>
    </w:p>
    <w:p w14:paraId="3DBAE76B" w14:textId="5ED722B3" w:rsidR="008D679C" w:rsidRPr="008D5633" w:rsidRDefault="008D5633" w:rsidP="00C04934">
      <w:pPr>
        <w:pStyle w:val="Kop3"/>
        <w:rPr>
          <w:sz w:val="24"/>
          <w:szCs w:val="26"/>
        </w:rPr>
      </w:pPr>
      <w:r w:rsidRPr="008D5633">
        <w:rPr>
          <w:sz w:val="24"/>
          <w:szCs w:val="26"/>
        </w:rPr>
        <w:t>Leiderdorp, Oestgeest, Zoeterwoude Onderh. &amp; Beheer onderhoud en vervanging OVL</w:t>
      </w:r>
    </w:p>
    <w:p w14:paraId="4CD87F20" w14:textId="77777777" w:rsidR="00805222" w:rsidRDefault="008D5633" w:rsidP="00805222">
      <w:pPr>
        <w:rPr>
          <w:color w:val="ED7D31" w:themeColor="accent2"/>
          <w:szCs w:val="19"/>
        </w:rPr>
      </w:pPr>
      <w:r w:rsidRPr="008D5633">
        <w:rPr>
          <w:noProof/>
        </w:rPr>
        <w:drawing>
          <wp:inline distT="0" distB="0" distL="0" distR="0" wp14:anchorId="07BB2C72" wp14:editId="0C3E5551">
            <wp:extent cx="4885266" cy="3043011"/>
            <wp:effectExtent l="0" t="0" r="0" b="5080"/>
            <wp:docPr id="20662748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0067" cy="3046002"/>
                    </a:xfrm>
                    <a:prstGeom prst="rect">
                      <a:avLst/>
                    </a:prstGeom>
                    <a:noFill/>
                    <a:ln>
                      <a:noFill/>
                    </a:ln>
                  </pic:spPr>
                </pic:pic>
              </a:graphicData>
            </a:graphic>
          </wp:inline>
        </w:drawing>
      </w:r>
    </w:p>
    <w:p w14:paraId="7B4E7434" w14:textId="77777777" w:rsidR="00805222" w:rsidRDefault="00805222" w:rsidP="00805222">
      <w:pPr>
        <w:rPr>
          <w:color w:val="ED7D31" w:themeColor="accent2"/>
          <w:szCs w:val="19"/>
        </w:rPr>
      </w:pPr>
    </w:p>
    <w:p w14:paraId="3B49AA5A" w14:textId="77777777" w:rsidR="00CB5F2D" w:rsidRDefault="00805222" w:rsidP="00CB5F2D">
      <w:pPr>
        <w:pStyle w:val="Kop3"/>
        <w:rPr>
          <w:sz w:val="24"/>
          <w:szCs w:val="26"/>
        </w:rPr>
      </w:pPr>
      <w:r w:rsidRPr="00805222">
        <w:rPr>
          <w:sz w:val="24"/>
          <w:szCs w:val="26"/>
        </w:rPr>
        <w:lastRenderedPageBreak/>
        <w:t>Waterschap Hollandse Delta</w:t>
      </w:r>
    </w:p>
    <w:p w14:paraId="2A76874E" w14:textId="427709F4" w:rsidR="005C5598" w:rsidRDefault="005C5598" w:rsidP="005C5598">
      <w:r w:rsidRPr="005C5598">
        <w:rPr>
          <w:noProof/>
        </w:rPr>
        <w:drawing>
          <wp:inline distT="0" distB="0" distL="0" distR="0" wp14:anchorId="5760005D" wp14:editId="6EFCE19E">
            <wp:extent cx="4665566" cy="3122211"/>
            <wp:effectExtent l="0" t="0" r="1905" b="2540"/>
            <wp:docPr id="133853033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5882" cy="3129114"/>
                    </a:xfrm>
                    <a:prstGeom prst="rect">
                      <a:avLst/>
                    </a:prstGeom>
                    <a:noFill/>
                    <a:ln>
                      <a:noFill/>
                    </a:ln>
                  </pic:spPr>
                </pic:pic>
              </a:graphicData>
            </a:graphic>
          </wp:inline>
        </w:drawing>
      </w:r>
    </w:p>
    <w:p w14:paraId="3F3E8280" w14:textId="77777777" w:rsidR="00350536" w:rsidRPr="005C5598" w:rsidRDefault="00350536" w:rsidP="005C5598"/>
    <w:p w14:paraId="539C09F2" w14:textId="1BDD7DB7" w:rsidR="00CB5F2D" w:rsidRDefault="000C29DD" w:rsidP="00CB5F2D">
      <w:pPr>
        <w:pStyle w:val="Kop3"/>
        <w:rPr>
          <w:sz w:val="24"/>
          <w:szCs w:val="26"/>
        </w:rPr>
      </w:pPr>
      <w:r>
        <w:rPr>
          <w:sz w:val="24"/>
          <w:szCs w:val="26"/>
        </w:rPr>
        <w:t>Westerwolde</w:t>
      </w:r>
    </w:p>
    <w:p w14:paraId="7CCAE14F" w14:textId="4FDB69AD" w:rsidR="00350536" w:rsidRDefault="00FE7FFD" w:rsidP="0011213E">
      <w:r>
        <w:rPr>
          <w:noProof/>
        </w:rPr>
        <w:drawing>
          <wp:inline distT="0" distB="0" distL="0" distR="0" wp14:anchorId="63588702" wp14:editId="73EF6430">
            <wp:extent cx="4562475" cy="2838450"/>
            <wp:effectExtent l="0" t="0" r="9525" b="0"/>
            <wp:docPr id="244180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2475" cy="2838450"/>
                    </a:xfrm>
                    <a:prstGeom prst="rect">
                      <a:avLst/>
                    </a:prstGeom>
                    <a:noFill/>
                    <a:ln>
                      <a:noFill/>
                    </a:ln>
                  </pic:spPr>
                </pic:pic>
              </a:graphicData>
            </a:graphic>
          </wp:inline>
        </w:drawing>
      </w:r>
    </w:p>
    <w:p w14:paraId="5DB577B6" w14:textId="77777777" w:rsidR="00350536" w:rsidRPr="0011213E" w:rsidRDefault="00350536" w:rsidP="0011213E"/>
    <w:p w14:paraId="73DB6673" w14:textId="77777777" w:rsidR="00CB5F2D" w:rsidRDefault="00805222" w:rsidP="00CB5F2D">
      <w:pPr>
        <w:pStyle w:val="Kop3"/>
        <w:rPr>
          <w:sz w:val="24"/>
          <w:szCs w:val="26"/>
        </w:rPr>
      </w:pPr>
      <w:r w:rsidRPr="00CB5F2D">
        <w:rPr>
          <w:sz w:val="24"/>
          <w:szCs w:val="26"/>
        </w:rPr>
        <w:lastRenderedPageBreak/>
        <w:t>Rotterdam Onderhoud OVL</w:t>
      </w:r>
    </w:p>
    <w:p w14:paraId="2E784CAD" w14:textId="4A26EB6B" w:rsidR="0011213E" w:rsidRDefault="0011213E" w:rsidP="0011213E">
      <w:r w:rsidRPr="0011213E">
        <w:rPr>
          <w:noProof/>
        </w:rPr>
        <w:drawing>
          <wp:inline distT="0" distB="0" distL="0" distR="0" wp14:anchorId="621CEB99" wp14:editId="4300F601">
            <wp:extent cx="4605866" cy="3080924"/>
            <wp:effectExtent l="0" t="0" r="4445" b="5715"/>
            <wp:docPr id="197765014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2551" cy="3085396"/>
                    </a:xfrm>
                    <a:prstGeom prst="rect">
                      <a:avLst/>
                    </a:prstGeom>
                    <a:noFill/>
                    <a:ln>
                      <a:noFill/>
                    </a:ln>
                  </pic:spPr>
                </pic:pic>
              </a:graphicData>
            </a:graphic>
          </wp:inline>
        </w:drawing>
      </w:r>
    </w:p>
    <w:p w14:paraId="02347E34" w14:textId="77777777" w:rsidR="00350536" w:rsidRPr="0011213E" w:rsidRDefault="00350536" w:rsidP="0011213E"/>
    <w:p w14:paraId="62F788DA" w14:textId="6E920BCB" w:rsidR="00805222" w:rsidRPr="00CB5F2D" w:rsidRDefault="00805222" w:rsidP="00CB5F2D">
      <w:pPr>
        <w:pStyle w:val="Kop3"/>
        <w:rPr>
          <w:sz w:val="24"/>
          <w:szCs w:val="26"/>
        </w:rPr>
      </w:pPr>
      <w:r w:rsidRPr="00CB5F2D">
        <w:rPr>
          <w:sz w:val="24"/>
          <w:szCs w:val="26"/>
        </w:rPr>
        <w:t>LEK-Merwede</w:t>
      </w:r>
    </w:p>
    <w:p w14:paraId="44C7B76A" w14:textId="1EBFD698" w:rsidR="00867806" w:rsidRPr="00805222" w:rsidRDefault="007F2B7F" w:rsidP="00805222">
      <w:pPr>
        <w:pStyle w:val="Kop3"/>
        <w:numPr>
          <w:ilvl w:val="0"/>
          <w:numId w:val="0"/>
        </w:numPr>
        <w:ind w:left="720" w:hanging="720"/>
        <w:rPr>
          <w:color w:val="ED7D31" w:themeColor="accent2"/>
          <w:szCs w:val="19"/>
        </w:rPr>
      </w:pPr>
      <w:r>
        <w:rPr>
          <w:noProof/>
        </w:rPr>
        <w:drawing>
          <wp:inline distT="0" distB="0" distL="0" distR="0" wp14:anchorId="4D746D19" wp14:editId="5205F74B">
            <wp:extent cx="4552950" cy="2867025"/>
            <wp:effectExtent l="0" t="0" r="0" b="9525"/>
            <wp:docPr id="74303566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2867025"/>
                    </a:xfrm>
                    <a:prstGeom prst="rect">
                      <a:avLst/>
                    </a:prstGeom>
                    <a:noFill/>
                    <a:ln>
                      <a:noFill/>
                    </a:ln>
                  </pic:spPr>
                </pic:pic>
              </a:graphicData>
            </a:graphic>
          </wp:inline>
        </w:drawing>
      </w:r>
    </w:p>
    <w:p w14:paraId="0C0E9988" w14:textId="4FDAA801" w:rsidR="00B1022C" w:rsidRPr="00CC000F" w:rsidRDefault="00B1022C" w:rsidP="007F1905">
      <w:pPr>
        <w:rPr>
          <w:color w:val="ED7D31" w:themeColor="accent2"/>
          <w:szCs w:val="19"/>
        </w:rPr>
      </w:pPr>
    </w:p>
    <w:p w14:paraId="46620015" w14:textId="77777777" w:rsidR="00B1022C" w:rsidRPr="00CC000F" w:rsidRDefault="00B1022C" w:rsidP="007F1905">
      <w:pPr>
        <w:rPr>
          <w:color w:val="ED7D31" w:themeColor="accent2"/>
          <w:szCs w:val="19"/>
        </w:rPr>
      </w:pPr>
    </w:p>
    <w:p w14:paraId="3ED232B3" w14:textId="3C6E352B" w:rsidR="007F1905" w:rsidRPr="00657E6B" w:rsidRDefault="007F1905" w:rsidP="007F1905">
      <w:pPr>
        <w:rPr>
          <w:szCs w:val="19"/>
        </w:rPr>
      </w:pPr>
      <w:r w:rsidRPr="00657E6B">
        <w:rPr>
          <w:szCs w:val="19"/>
        </w:rPr>
        <w:t xml:space="preserve">De documentatie van dit project is </w:t>
      </w:r>
      <w:r w:rsidR="002B76E8" w:rsidRPr="00657E6B">
        <w:rPr>
          <w:szCs w:val="19"/>
        </w:rPr>
        <w:t xml:space="preserve">ook </w:t>
      </w:r>
      <w:r w:rsidRPr="00657E6B">
        <w:rPr>
          <w:szCs w:val="19"/>
        </w:rPr>
        <w:t>opgenomen in het Project Impact Dashboard op de SKAO-pagina.</w:t>
      </w:r>
    </w:p>
    <w:p w14:paraId="20EFC8DB" w14:textId="77777777" w:rsidR="007F1905" w:rsidRPr="00CC000F" w:rsidRDefault="007F1905" w:rsidP="007F1905">
      <w:pPr>
        <w:rPr>
          <w:color w:val="ED7D31" w:themeColor="accent2"/>
          <w:szCs w:val="19"/>
        </w:rPr>
      </w:pPr>
    </w:p>
    <w:p w14:paraId="29F94C82" w14:textId="5D945679" w:rsidR="007F1905" w:rsidRPr="00CC000F" w:rsidRDefault="007F1905" w:rsidP="007F1905">
      <w:pPr>
        <w:rPr>
          <w:color w:val="ED7D31" w:themeColor="accent2"/>
          <w:szCs w:val="19"/>
        </w:rPr>
      </w:pPr>
      <w:commentRangeStart w:id="61"/>
      <w:r w:rsidRPr="00CC000F">
        <w:rPr>
          <w:color w:val="ED7D31" w:themeColor="accent2"/>
          <w:szCs w:val="19"/>
        </w:rPr>
        <w:t>In 202</w:t>
      </w:r>
      <w:r w:rsidR="00033064">
        <w:rPr>
          <w:color w:val="ED7D31" w:themeColor="accent2"/>
          <w:szCs w:val="19"/>
        </w:rPr>
        <w:t>5</w:t>
      </w:r>
      <w:r w:rsidRPr="00CC000F">
        <w:rPr>
          <w:color w:val="ED7D31" w:themeColor="accent2"/>
          <w:szCs w:val="19"/>
        </w:rPr>
        <w:t xml:space="preserve"> gaan </w:t>
      </w:r>
      <w:r w:rsidR="00033064">
        <w:rPr>
          <w:color w:val="ED7D31" w:themeColor="accent2"/>
          <w:szCs w:val="19"/>
        </w:rPr>
        <w:t>xx</w:t>
      </w:r>
      <w:r w:rsidRPr="00CC000F">
        <w:rPr>
          <w:color w:val="ED7D31" w:themeColor="accent2"/>
          <w:szCs w:val="19"/>
        </w:rPr>
        <w:t xml:space="preserve"> nieuwe project met gunningvoordeel van start: </w:t>
      </w:r>
      <w:commentRangeEnd w:id="61"/>
      <w:r w:rsidR="00033064">
        <w:rPr>
          <w:rStyle w:val="Verwijzingopmerking"/>
        </w:rPr>
        <w:commentReference w:id="61"/>
      </w:r>
    </w:p>
    <w:p w14:paraId="7FC9C713" w14:textId="77777777" w:rsidR="007F1905" w:rsidRDefault="007F1905" w:rsidP="007F1905">
      <w:pPr>
        <w:rPr>
          <w:color w:val="ED7D31" w:themeColor="accent2"/>
          <w:szCs w:val="19"/>
        </w:rPr>
      </w:pPr>
    </w:p>
    <w:p w14:paraId="5F9D5419" w14:textId="77777777" w:rsidR="00B62A44" w:rsidRDefault="00B62A44" w:rsidP="007F1905">
      <w:pPr>
        <w:rPr>
          <w:color w:val="ED7D31" w:themeColor="accent2"/>
          <w:szCs w:val="19"/>
        </w:rPr>
      </w:pPr>
    </w:p>
    <w:p w14:paraId="4FB67459" w14:textId="77777777" w:rsidR="00B62A44" w:rsidRDefault="00B62A44" w:rsidP="007F1905">
      <w:pPr>
        <w:rPr>
          <w:color w:val="ED7D31" w:themeColor="accent2"/>
          <w:szCs w:val="19"/>
        </w:rPr>
      </w:pPr>
    </w:p>
    <w:p w14:paraId="669C49F0" w14:textId="77777777" w:rsidR="00B62A44" w:rsidRDefault="00B62A44" w:rsidP="007F1905">
      <w:pPr>
        <w:rPr>
          <w:color w:val="ED7D31" w:themeColor="accent2"/>
          <w:szCs w:val="19"/>
        </w:rPr>
      </w:pPr>
    </w:p>
    <w:p w14:paraId="6FBF3346" w14:textId="77777777" w:rsidR="00B62A44" w:rsidRDefault="00B62A44" w:rsidP="007F1905">
      <w:pPr>
        <w:rPr>
          <w:color w:val="ED7D31" w:themeColor="accent2"/>
          <w:szCs w:val="19"/>
        </w:rPr>
      </w:pPr>
    </w:p>
    <w:p w14:paraId="55593EAC" w14:textId="77777777" w:rsidR="00B62A44" w:rsidRDefault="00B62A44" w:rsidP="007F1905">
      <w:pPr>
        <w:rPr>
          <w:color w:val="ED7D31" w:themeColor="accent2"/>
          <w:szCs w:val="19"/>
        </w:rPr>
      </w:pPr>
    </w:p>
    <w:p w14:paraId="1169D9CF" w14:textId="77777777" w:rsidR="00B62A44" w:rsidRDefault="00B62A44" w:rsidP="007F1905">
      <w:pPr>
        <w:rPr>
          <w:color w:val="ED7D31" w:themeColor="accent2"/>
          <w:szCs w:val="19"/>
        </w:rPr>
      </w:pPr>
    </w:p>
    <w:p w14:paraId="50FB11D1" w14:textId="77777777" w:rsidR="00B62A44" w:rsidRPr="00CC000F" w:rsidRDefault="00B62A44" w:rsidP="007F1905">
      <w:pPr>
        <w:rPr>
          <w:color w:val="ED7D31" w:themeColor="accent2"/>
          <w:szCs w:val="19"/>
        </w:rPr>
      </w:pPr>
    </w:p>
    <w:p w14:paraId="27A59107" w14:textId="77777777" w:rsidR="00A75273" w:rsidRDefault="00A75273" w:rsidP="00A75273">
      <w:pPr>
        <w:pStyle w:val="Kop1"/>
      </w:pPr>
      <w:bookmarkStart w:id="62" w:name="_Toc118736231"/>
      <w:bookmarkStart w:id="63" w:name="_Toc142472119"/>
      <w:r>
        <w:lastRenderedPageBreak/>
        <w:t xml:space="preserve">Rapportage </w:t>
      </w:r>
      <w:r w:rsidR="001266C3">
        <w:t xml:space="preserve">van de </w:t>
      </w:r>
      <w:r w:rsidR="001266C3" w:rsidRPr="006C3145">
        <w:t>CO</w:t>
      </w:r>
      <w:r w:rsidR="001266C3" w:rsidRPr="006C3145">
        <w:rPr>
          <w:vertAlign w:val="subscript"/>
        </w:rPr>
        <w:t>2</w:t>
      </w:r>
      <w:r w:rsidR="001266C3">
        <w:t>-emissie-inventaris</w:t>
      </w:r>
      <w:bookmarkEnd w:id="62"/>
      <w:bookmarkEnd w:id="63"/>
    </w:p>
    <w:p w14:paraId="15B973EA" w14:textId="77777777" w:rsidR="00A75273" w:rsidRDefault="00A75273" w:rsidP="00A75273"/>
    <w:p w14:paraId="06A09E98" w14:textId="77777777" w:rsidR="002E4938" w:rsidRDefault="00DC40AB" w:rsidP="002E4938">
      <w:pPr>
        <w:pStyle w:val="Kop2"/>
      </w:pPr>
      <w:bookmarkStart w:id="64" w:name="_Toc118736232"/>
      <w:bookmarkStart w:id="65" w:name="_Toc142472120"/>
      <w:r>
        <w:t>Rapportage volgens ISO 14064-1</w:t>
      </w:r>
      <w:bookmarkEnd w:id="64"/>
      <w:bookmarkEnd w:id="65"/>
    </w:p>
    <w:p w14:paraId="5AF0E4BD" w14:textId="77777777" w:rsidR="00B13F71" w:rsidRDefault="00A75273" w:rsidP="00982546">
      <w:r>
        <w:t xml:space="preserve">De </w:t>
      </w:r>
      <w:r w:rsidRPr="006C3145">
        <w:t>CO</w:t>
      </w:r>
      <w:r w:rsidRPr="006C3145">
        <w:rPr>
          <w:vertAlign w:val="subscript"/>
        </w:rPr>
        <w:t>2</w:t>
      </w:r>
      <w:r>
        <w:t xml:space="preserve">-emissie-inventaris rapportage is opgesteld </w:t>
      </w:r>
      <w:r w:rsidR="00B13F71" w:rsidRPr="00AD4F9C">
        <w:t xml:space="preserve">volgens de eisen uit ISO 14064-1, paragraaf </w:t>
      </w:r>
      <w:r w:rsidR="00B13F71">
        <w:t>9.3.1</w:t>
      </w:r>
      <w:r w:rsidR="00B13F71" w:rsidRPr="00AD4F9C">
        <w:t xml:space="preserve">. In </w:t>
      </w:r>
      <w:r w:rsidR="00B13F71">
        <w:t>onderstaande tabel</w:t>
      </w:r>
      <w:r w:rsidR="00B13F71" w:rsidRPr="00AD4F9C">
        <w:t xml:space="preserve"> is een kruistabel gemaakt van de onderdelen uit ISO 14064-1 en </w:t>
      </w:r>
      <w:r w:rsidR="00B13F71">
        <w:t xml:space="preserve">de </w:t>
      </w:r>
      <w:r w:rsidR="006E6FBE">
        <w:t>vermelding</w:t>
      </w:r>
      <w:r w:rsidR="00B13F71">
        <w:t xml:space="preserve"> in dit dossier.</w:t>
      </w:r>
    </w:p>
    <w:p w14:paraId="6684175A" w14:textId="77777777" w:rsidR="00B13F71" w:rsidRDefault="00B13F71" w:rsidP="00A75273"/>
    <w:tbl>
      <w:tblPr>
        <w:tblStyle w:val="Tabelraster"/>
        <w:tblpPr w:leftFromText="141" w:rightFromText="141" w:vertAnchor="text" w:horzAnchor="margin" w:tblpY="-71"/>
        <w:tblW w:w="5266"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19"/>
        <w:gridCol w:w="4448"/>
        <w:gridCol w:w="3693"/>
      </w:tblGrid>
      <w:tr w:rsidR="006E6FBE" w:rsidRPr="000D3F7B" w14:paraId="23F28E7C" w14:textId="77777777" w:rsidTr="00201C22">
        <w:trPr>
          <w:trHeight w:val="661"/>
        </w:trPr>
        <w:tc>
          <w:tcPr>
            <w:tcW w:w="697" w:type="pct"/>
            <w:tcBorders>
              <w:top w:val="single" w:sz="36" w:space="0" w:color="FFFFFF" w:themeColor="background1"/>
              <w:left w:val="single" w:sz="36" w:space="0" w:color="FFFFFF" w:themeColor="background1"/>
              <w:bottom w:val="single" w:sz="36" w:space="0" w:color="FFFFFF" w:themeColor="background1"/>
            </w:tcBorders>
            <w:shd w:val="clear" w:color="auto" w:fill="6ABE93"/>
            <w:vAlign w:val="center"/>
          </w:tcPr>
          <w:p w14:paraId="7480B8B9" w14:textId="77777777" w:rsidR="006E6FBE" w:rsidRPr="00F37C18" w:rsidRDefault="006E6FBE" w:rsidP="00201C22">
            <w:pPr>
              <w:jc w:val="center"/>
              <w:rPr>
                <w:rFonts w:eastAsia="SimSun"/>
                <w:b/>
                <w:caps/>
                <w:szCs w:val="20"/>
              </w:rPr>
            </w:pPr>
            <w:r w:rsidRPr="00F37C18">
              <w:rPr>
                <w:rFonts w:eastAsia="SimSun"/>
                <w:b/>
                <w:caps/>
                <w:szCs w:val="20"/>
              </w:rPr>
              <w:t>ISO 14064-1 §9.3.1</w:t>
            </w:r>
          </w:p>
        </w:tc>
        <w:tc>
          <w:tcPr>
            <w:tcW w:w="2351" w:type="pct"/>
            <w:tcBorders>
              <w:top w:val="single" w:sz="36" w:space="0" w:color="FFFFFF" w:themeColor="background1"/>
              <w:bottom w:val="single" w:sz="36" w:space="0" w:color="FFFFFF" w:themeColor="background1"/>
            </w:tcBorders>
            <w:shd w:val="clear" w:color="auto" w:fill="6ABE93"/>
            <w:vAlign w:val="center"/>
          </w:tcPr>
          <w:p w14:paraId="093B9A08" w14:textId="77777777" w:rsidR="006E6FBE" w:rsidRPr="00F37C18" w:rsidRDefault="006E6FBE" w:rsidP="00201C22">
            <w:pPr>
              <w:jc w:val="center"/>
              <w:rPr>
                <w:rFonts w:eastAsia="SimSun"/>
                <w:b/>
                <w:caps/>
                <w:szCs w:val="20"/>
              </w:rPr>
            </w:pPr>
            <w:r w:rsidRPr="00F37C18">
              <w:rPr>
                <w:rFonts w:eastAsia="SimSun"/>
                <w:b/>
                <w:caps/>
                <w:szCs w:val="20"/>
              </w:rPr>
              <w:t>Beschrijving</w:t>
            </w:r>
          </w:p>
        </w:tc>
        <w:tc>
          <w:tcPr>
            <w:tcW w:w="1952" w:type="pct"/>
            <w:tcBorders>
              <w:top w:val="single" w:sz="36" w:space="0" w:color="FFFFFF" w:themeColor="background1"/>
              <w:bottom w:val="single" w:sz="36" w:space="0" w:color="FFFFFF" w:themeColor="background1"/>
              <w:right w:val="single" w:sz="36" w:space="0" w:color="FFFFFF" w:themeColor="background1"/>
            </w:tcBorders>
            <w:shd w:val="clear" w:color="auto" w:fill="6ABE93"/>
            <w:vAlign w:val="center"/>
          </w:tcPr>
          <w:p w14:paraId="4E90CC18" w14:textId="77777777" w:rsidR="006E6FBE" w:rsidRPr="00F37C18" w:rsidRDefault="006E6FBE" w:rsidP="00201C22">
            <w:pPr>
              <w:jc w:val="center"/>
              <w:rPr>
                <w:rFonts w:eastAsia="SimSun"/>
                <w:b/>
                <w:caps/>
                <w:szCs w:val="20"/>
              </w:rPr>
            </w:pPr>
            <w:r>
              <w:rPr>
                <w:rFonts w:eastAsia="SimSun"/>
                <w:b/>
                <w:caps/>
                <w:szCs w:val="20"/>
              </w:rPr>
              <w:t>Vermelding</w:t>
            </w:r>
          </w:p>
        </w:tc>
      </w:tr>
      <w:tr w:rsidR="006E6FBE" w:rsidRPr="000D3F7B" w14:paraId="0B756314" w14:textId="77777777" w:rsidTr="005967C0">
        <w:trPr>
          <w:trHeight w:val="337"/>
        </w:trPr>
        <w:tc>
          <w:tcPr>
            <w:tcW w:w="697" w:type="pct"/>
            <w:tcBorders>
              <w:top w:val="single" w:sz="36" w:space="0" w:color="FFFFFF" w:themeColor="background1"/>
            </w:tcBorders>
            <w:shd w:val="clear" w:color="auto" w:fill="F2F2F2" w:themeFill="background1" w:themeFillShade="F2"/>
            <w:vAlign w:val="center"/>
          </w:tcPr>
          <w:p w14:paraId="2B50F5C1" w14:textId="77777777" w:rsidR="006E6FBE" w:rsidRPr="00F37C18" w:rsidRDefault="006E6FBE" w:rsidP="005967C0">
            <w:pPr>
              <w:jc w:val="center"/>
              <w:rPr>
                <w:sz w:val="18"/>
                <w:szCs w:val="18"/>
              </w:rPr>
            </w:pPr>
            <w:r w:rsidRPr="00F37C18">
              <w:rPr>
                <w:sz w:val="18"/>
                <w:szCs w:val="18"/>
              </w:rPr>
              <w:t>A</w:t>
            </w:r>
          </w:p>
        </w:tc>
        <w:tc>
          <w:tcPr>
            <w:tcW w:w="2351" w:type="pct"/>
            <w:tcBorders>
              <w:top w:val="single" w:sz="36" w:space="0" w:color="FFFFFF" w:themeColor="background1"/>
            </w:tcBorders>
            <w:shd w:val="clear" w:color="auto" w:fill="F2F2F2" w:themeFill="background1" w:themeFillShade="F2"/>
            <w:vAlign w:val="center"/>
          </w:tcPr>
          <w:p w14:paraId="5BF0A442" w14:textId="77777777" w:rsidR="006E6FBE" w:rsidRPr="007C1FC8" w:rsidRDefault="00527940" w:rsidP="00674CB1">
            <w:pPr>
              <w:jc w:val="left"/>
              <w:rPr>
                <w:sz w:val="18"/>
                <w:szCs w:val="18"/>
                <w:lang w:val="en-GB"/>
              </w:rPr>
            </w:pPr>
            <w:r>
              <w:rPr>
                <w:sz w:val="18"/>
                <w:szCs w:val="18"/>
                <w:lang w:val="en-GB"/>
              </w:rPr>
              <w:t>Description of the r</w:t>
            </w:r>
            <w:r w:rsidR="006E6FBE" w:rsidRPr="007C1FC8">
              <w:rPr>
                <w:sz w:val="18"/>
                <w:szCs w:val="18"/>
                <w:lang w:val="en-GB"/>
              </w:rPr>
              <w:t>eporting organization</w:t>
            </w:r>
          </w:p>
        </w:tc>
        <w:tc>
          <w:tcPr>
            <w:tcW w:w="1952" w:type="pct"/>
            <w:tcBorders>
              <w:top w:val="single" w:sz="36" w:space="0" w:color="FFFFFF" w:themeColor="background1"/>
            </w:tcBorders>
            <w:shd w:val="clear" w:color="auto" w:fill="F2F2F2" w:themeFill="background1" w:themeFillShade="F2"/>
            <w:vAlign w:val="center"/>
          </w:tcPr>
          <w:p w14:paraId="39DA6C31" w14:textId="77777777" w:rsidR="006E6FBE" w:rsidRPr="00F37C18" w:rsidRDefault="00982546" w:rsidP="00674CB1">
            <w:pPr>
              <w:jc w:val="left"/>
              <w:rPr>
                <w:sz w:val="18"/>
                <w:szCs w:val="18"/>
              </w:rPr>
            </w:pPr>
            <w:r>
              <w:rPr>
                <w:sz w:val="18"/>
                <w:szCs w:val="18"/>
              </w:rPr>
              <w:t>Verslag</w:t>
            </w:r>
            <w:r w:rsidR="006E6FBE">
              <w:rPr>
                <w:sz w:val="18"/>
                <w:szCs w:val="18"/>
              </w:rPr>
              <w:t xml:space="preserve">, </w:t>
            </w:r>
            <w:r w:rsidR="001D1B72">
              <w:rPr>
                <w:sz w:val="18"/>
                <w:szCs w:val="18"/>
              </w:rPr>
              <w:t>H</w:t>
            </w:r>
            <w:r w:rsidR="00815CE2">
              <w:rPr>
                <w:sz w:val="18"/>
                <w:szCs w:val="18"/>
              </w:rPr>
              <w:t>4</w:t>
            </w:r>
          </w:p>
        </w:tc>
      </w:tr>
      <w:tr w:rsidR="006E6FBE" w:rsidRPr="000D3F7B" w14:paraId="7A392E8F" w14:textId="77777777" w:rsidTr="005967C0">
        <w:trPr>
          <w:trHeight w:val="337"/>
        </w:trPr>
        <w:tc>
          <w:tcPr>
            <w:tcW w:w="697" w:type="pct"/>
            <w:shd w:val="clear" w:color="auto" w:fill="F2F2F2" w:themeFill="background1" w:themeFillShade="F2"/>
            <w:vAlign w:val="center"/>
          </w:tcPr>
          <w:p w14:paraId="3166B07C" w14:textId="77777777" w:rsidR="006E6FBE" w:rsidRPr="00F37C18" w:rsidRDefault="006E6FBE" w:rsidP="005967C0">
            <w:pPr>
              <w:jc w:val="center"/>
              <w:rPr>
                <w:sz w:val="18"/>
                <w:szCs w:val="18"/>
              </w:rPr>
            </w:pPr>
            <w:r w:rsidRPr="00F37C18">
              <w:rPr>
                <w:sz w:val="18"/>
                <w:szCs w:val="18"/>
              </w:rPr>
              <w:t>B</w:t>
            </w:r>
          </w:p>
        </w:tc>
        <w:tc>
          <w:tcPr>
            <w:tcW w:w="2351" w:type="pct"/>
            <w:shd w:val="clear" w:color="auto" w:fill="F2F2F2" w:themeFill="background1" w:themeFillShade="F2"/>
            <w:vAlign w:val="center"/>
          </w:tcPr>
          <w:p w14:paraId="4B8D640E" w14:textId="77777777" w:rsidR="006E6FBE" w:rsidRPr="007C1FC8" w:rsidRDefault="006E6FBE" w:rsidP="00674CB1">
            <w:pPr>
              <w:jc w:val="left"/>
              <w:rPr>
                <w:sz w:val="18"/>
                <w:szCs w:val="18"/>
                <w:lang w:val="en-GB"/>
              </w:rPr>
            </w:pPr>
            <w:r w:rsidRPr="007C1FC8">
              <w:rPr>
                <w:sz w:val="18"/>
                <w:szCs w:val="18"/>
                <w:lang w:val="en-GB"/>
              </w:rPr>
              <w:t xml:space="preserve">Person </w:t>
            </w:r>
            <w:r w:rsidR="00F272CF">
              <w:rPr>
                <w:sz w:val="18"/>
                <w:szCs w:val="18"/>
                <w:lang w:val="en-GB"/>
              </w:rPr>
              <w:t xml:space="preserve">or entity </w:t>
            </w:r>
            <w:r w:rsidRPr="007C1FC8">
              <w:rPr>
                <w:sz w:val="18"/>
                <w:szCs w:val="18"/>
                <w:lang w:val="en-GB"/>
              </w:rPr>
              <w:t>responsible</w:t>
            </w:r>
            <w:r w:rsidR="00F272CF">
              <w:rPr>
                <w:sz w:val="18"/>
                <w:szCs w:val="18"/>
                <w:lang w:val="en-GB"/>
              </w:rPr>
              <w:t xml:space="preserve"> for the report</w:t>
            </w:r>
          </w:p>
        </w:tc>
        <w:tc>
          <w:tcPr>
            <w:tcW w:w="1952" w:type="pct"/>
            <w:shd w:val="clear" w:color="auto" w:fill="F2F2F2" w:themeFill="background1" w:themeFillShade="F2"/>
            <w:vAlign w:val="center"/>
          </w:tcPr>
          <w:p w14:paraId="0A445338" w14:textId="77777777" w:rsidR="006E6FBE" w:rsidRPr="00F37C18" w:rsidRDefault="00982546" w:rsidP="00674CB1">
            <w:pPr>
              <w:jc w:val="left"/>
              <w:rPr>
                <w:sz w:val="18"/>
                <w:szCs w:val="18"/>
              </w:rPr>
            </w:pPr>
            <w:r>
              <w:rPr>
                <w:sz w:val="18"/>
                <w:szCs w:val="18"/>
              </w:rPr>
              <w:t>Verslag</w:t>
            </w:r>
            <w:r w:rsidR="000E5126">
              <w:rPr>
                <w:sz w:val="18"/>
                <w:szCs w:val="18"/>
              </w:rPr>
              <w:t xml:space="preserve">, </w:t>
            </w:r>
            <w:r w:rsidR="001D1B72" w:rsidRPr="001D1B72">
              <w:rPr>
                <w:rFonts w:eastAsia="SimSun"/>
                <w:bCs/>
                <w:caps/>
                <w:szCs w:val="20"/>
              </w:rPr>
              <w:t>§</w:t>
            </w:r>
            <w:r w:rsidR="00815CE2">
              <w:rPr>
                <w:sz w:val="18"/>
                <w:szCs w:val="18"/>
              </w:rPr>
              <w:t>4.2</w:t>
            </w:r>
          </w:p>
        </w:tc>
      </w:tr>
      <w:tr w:rsidR="006E6FBE" w:rsidRPr="000D3F7B" w14:paraId="3489D0D5" w14:textId="77777777" w:rsidTr="005967C0">
        <w:trPr>
          <w:trHeight w:val="323"/>
        </w:trPr>
        <w:tc>
          <w:tcPr>
            <w:tcW w:w="697" w:type="pct"/>
            <w:shd w:val="clear" w:color="auto" w:fill="F2F2F2" w:themeFill="background1" w:themeFillShade="F2"/>
            <w:vAlign w:val="center"/>
          </w:tcPr>
          <w:p w14:paraId="7EBC0C05" w14:textId="77777777" w:rsidR="006E6FBE" w:rsidRPr="00F37C18" w:rsidRDefault="006E6FBE" w:rsidP="005967C0">
            <w:pPr>
              <w:jc w:val="center"/>
              <w:rPr>
                <w:sz w:val="18"/>
                <w:szCs w:val="18"/>
              </w:rPr>
            </w:pPr>
            <w:r w:rsidRPr="00F37C18">
              <w:rPr>
                <w:sz w:val="18"/>
                <w:szCs w:val="18"/>
              </w:rPr>
              <w:t>C</w:t>
            </w:r>
          </w:p>
        </w:tc>
        <w:tc>
          <w:tcPr>
            <w:tcW w:w="2351" w:type="pct"/>
            <w:shd w:val="clear" w:color="auto" w:fill="F2F2F2" w:themeFill="background1" w:themeFillShade="F2"/>
            <w:vAlign w:val="center"/>
          </w:tcPr>
          <w:p w14:paraId="0F262790" w14:textId="77777777" w:rsidR="006E6FBE" w:rsidRPr="007C1FC8" w:rsidRDefault="006E6FBE" w:rsidP="00674CB1">
            <w:pPr>
              <w:jc w:val="left"/>
              <w:rPr>
                <w:sz w:val="18"/>
                <w:szCs w:val="18"/>
                <w:lang w:val="en-GB"/>
              </w:rPr>
            </w:pPr>
            <w:r w:rsidRPr="007C1FC8">
              <w:rPr>
                <w:sz w:val="18"/>
                <w:szCs w:val="18"/>
                <w:lang w:val="en-GB"/>
              </w:rPr>
              <w:t>Reporting period</w:t>
            </w:r>
            <w:r w:rsidR="00F272CF">
              <w:rPr>
                <w:sz w:val="18"/>
                <w:szCs w:val="18"/>
                <w:lang w:val="en-GB"/>
              </w:rPr>
              <w:t xml:space="preserve"> covered</w:t>
            </w:r>
          </w:p>
        </w:tc>
        <w:tc>
          <w:tcPr>
            <w:tcW w:w="1952" w:type="pct"/>
            <w:shd w:val="clear" w:color="auto" w:fill="F2F2F2" w:themeFill="background1" w:themeFillShade="F2"/>
            <w:vAlign w:val="center"/>
          </w:tcPr>
          <w:p w14:paraId="45C869A6" w14:textId="77777777" w:rsidR="006E6FBE" w:rsidRPr="00F37C18" w:rsidRDefault="00982546" w:rsidP="00674CB1">
            <w:pPr>
              <w:jc w:val="left"/>
              <w:rPr>
                <w:sz w:val="18"/>
                <w:szCs w:val="18"/>
              </w:rPr>
            </w:pPr>
            <w:r>
              <w:rPr>
                <w:sz w:val="18"/>
                <w:szCs w:val="18"/>
              </w:rPr>
              <w:t>Verslag</w:t>
            </w:r>
            <w:r w:rsidR="00815CE2">
              <w:rPr>
                <w:sz w:val="18"/>
                <w:szCs w:val="18"/>
              </w:rPr>
              <w:t xml:space="preserve">, </w:t>
            </w:r>
            <w:r w:rsidR="001D1B72" w:rsidRPr="001D1B72">
              <w:rPr>
                <w:rFonts w:eastAsia="SimSun"/>
                <w:bCs/>
                <w:caps/>
                <w:szCs w:val="20"/>
              </w:rPr>
              <w:t>§</w:t>
            </w:r>
            <w:r w:rsidR="00961B4E">
              <w:rPr>
                <w:sz w:val="18"/>
                <w:szCs w:val="18"/>
              </w:rPr>
              <w:t>5.</w:t>
            </w:r>
            <w:r w:rsidR="009558F7">
              <w:rPr>
                <w:sz w:val="18"/>
                <w:szCs w:val="18"/>
              </w:rPr>
              <w:t>2</w:t>
            </w:r>
          </w:p>
        </w:tc>
      </w:tr>
      <w:tr w:rsidR="006E6FBE" w:rsidRPr="000D3F7B" w14:paraId="7ACAAF6C" w14:textId="77777777" w:rsidTr="005967C0">
        <w:trPr>
          <w:trHeight w:val="337"/>
        </w:trPr>
        <w:tc>
          <w:tcPr>
            <w:tcW w:w="697" w:type="pct"/>
            <w:shd w:val="clear" w:color="auto" w:fill="F2F2F2" w:themeFill="background1" w:themeFillShade="F2"/>
            <w:vAlign w:val="center"/>
          </w:tcPr>
          <w:p w14:paraId="261D58D1" w14:textId="77777777" w:rsidR="006E6FBE" w:rsidRPr="00F37C18" w:rsidRDefault="006E6FBE" w:rsidP="005967C0">
            <w:pPr>
              <w:jc w:val="center"/>
              <w:rPr>
                <w:sz w:val="18"/>
                <w:szCs w:val="18"/>
              </w:rPr>
            </w:pPr>
            <w:r w:rsidRPr="00F37C18">
              <w:rPr>
                <w:sz w:val="18"/>
                <w:szCs w:val="18"/>
              </w:rPr>
              <w:t>D, E</w:t>
            </w:r>
          </w:p>
        </w:tc>
        <w:tc>
          <w:tcPr>
            <w:tcW w:w="2351" w:type="pct"/>
            <w:shd w:val="clear" w:color="auto" w:fill="F2F2F2" w:themeFill="background1" w:themeFillShade="F2"/>
            <w:vAlign w:val="center"/>
          </w:tcPr>
          <w:p w14:paraId="4EE510CF" w14:textId="77777777" w:rsidR="006E6FBE" w:rsidRPr="007C1FC8" w:rsidRDefault="00F272CF" w:rsidP="00674CB1">
            <w:pPr>
              <w:jc w:val="left"/>
              <w:rPr>
                <w:sz w:val="18"/>
                <w:szCs w:val="18"/>
                <w:lang w:val="en-GB"/>
              </w:rPr>
            </w:pPr>
            <w:r>
              <w:rPr>
                <w:sz w:val="18"/>
                <w:szCs w:val="18"/>
                <w:lang w:val="en-GB"/>
              </w:rPr>
              <w:t>Documentation of o</w:t>
            </w:r>
            <w:r w:rsidR="006E6FBE" w:rsidRPr="007C1FC8">
              <w:rPr>
                <w:sz w:val="18"/>
                <w:szCs w:val="18"/>
                <w:lang w:val="en-GB"/>
              </w:rPr>
              <w:t xml:space="preserve">rganizational </w:t>
            </w:r>
            <w:r w:rsidR="00E75463">
              <w:rPr>
                <w:sz w:val="18"/>
                <w:szCs w:val="18"/>
                <w:lang w:val="en-GB"/>
              </w:rPr>
              <w:t xml:space="preserve">and reporting </w:t>
            </w:r>
            <w:r w:rsidR="006E6FBE" w:rsidRPr="007C1FC8">
              <w:rPr>
                <w:sz w:val="18"/>
                <w:szCs w:val="18"/>
                <w:lang w:val="en-GB"/>
              </w:rPr>
              <w:t>boundaries</w:t>
            </w:r>
            <w:r w:rsidR="00674CB1">
              <w:rPr>
                <w:sz w:val="18"/>
                <w:szCs w:val="18"/>
                <w:lang w:val="en-GB"/>
              </w:rPr>
              <w:t>, including criteria to define significant emissions</w:t>
            </w:r>
          </w:p>
        </w:tc>
        <w:tc>
          <w:tcPr>
            <w:tcW w:w="1952" w:type="pct"/>
            <w:shd w:val="clear" w:color="auto" w:fill="F2F2F2" w:themeFill="background1" w:themeFillShade="F2"/>
            <w:vAlign w:val="center"/>
          </w:tcPr>
          <w:p w14:paraId="44C2A898" w14:textId="77777777" w:rsidR="006E6FBE" w:rsidRPr="00F37C18" w:rsidRDefault="00982546" w:rsidP="00674CB1">
            <w:pPr>
              <w:jc w:val="left"/>
              <w:rPr>
                <w:sz w:val="18"/>
                <w:szCs w:val="18"/>
              </w:rPr>
            </w:pPr>
            <w:r>
              <w:rPr>
                <w:sz w:val="18"/>
                <w:szCs w:val="18"/>
              </w:rPr>
              <w:t>Verslag</w:t>
            </w:r>
            <w:r w:rsidR="00815CE2">
              <w:rPr>
                <w:sz w:val="18"/>
                <w:szCs w:val="18"/>
              </w:rPr>
              <w:t xml:space="preserve">, </w:t>
            </w:r>
            <w:r w:rsidR="001D1B72" w:rsidRPr="001D1B72">
              <w:rPr>
                <w:rFonts w:eastAsia="SimSun"/>
                <w:bCs/>
                <w:caps/>
                <w:szCs w:val="20"/>
              </w:rPr>
              <w:t>§</w:t>
            </w:r>
            <w:r w:rsidR="00815CE2">
              <w:rPr>
                <w:sz w:val="18"/>
                <w:szCs w:val="18"/>
              </w:rPr>
              <w:t>4.</w:t>
            </w:r>
            <w:r w:rsidR="00201C22">
              <w:rPr>
                <w:sz w:val="18"/>
                <w:szCs w:val="18"/>
              </w:rPr>
              <w:t>3</w:t>
            </w:r>
          </w:p>
        </w:tc>
      </w:tr>
      <w:tr w:rsidR="006E6FBE" w:rsidRPr="00610048" w14:paraId="1CDB4934" w14:textId="77777777" w:rsidTr="005967C0">
        <w:trPr>
          <w:trHeight w:val="337"/>
        </w:trPr>
        <w:tc>
          <w:tcPr>
            <w:tcW w:w="697" w:type="pct"/>
            <w:shd w:val="clear" w:color="auto" w:fill="F2F2F2" w:themeFill="background1" w:themeFillShade="F2"/>
            <w:vAlign w:val="center"/>
          </w:tcPr>
          <w:p w14:paraId="4CB8CB21" w14:textId="77777777" w:rsidR="006E6FBE" w:rsidRPr="00F37C18" w:rsidRDefault="006E6FBE" w:rsidP="005967C0">
            <w:pPr>
              <w:jc w:val="center"/>
              <w:rPr>
                <w:sz w:val="18"/>
                <w:szCs w:val="18"/>
              </w:rPr>
            </w:pPr>
            <w:r w:rsidRPr="00F37C18">
              <w:rPr>
                <w:sz w:val="18"/>
                <w:szCs w:val="18"/>
              </w:rPr>
              <w:t>F</w:t>
            </w:r>
          </w:p>
        </w:tc>
        <w:tc>
          <w:tcPr>
            <w:tcW w:w="2351" w:type="pct"/>
            <w:shd w:val="clear" w:color="auto" w:fill="F2F2F2" w:themeFill="background1" w:themeFillShade="F2"/>
            <w:vAlign w:val="center"/>
          </w:tcPr>
          <w:p w14:paraId="6855856E" w14:textId="77777777" w:rsidR="006E6FBE" w:rsidRPr="007C1FC8" w:rsidRDefault="006E6FBE" w:rsidP="00674CB1">
            <w:pPr>
              <w:jc w:val="left"/>
              <w:rPr>
                <w:sz w:val="18"/>
                <w:szCs w:val="18"/>
                <w:lang w:val="en-GB"/>
              </w:rPr>
            </w:pPr>
            <w:r w:rsidRPr="007C1FC8">
              <w:rPr>
                <w:sz w:val="18"/>
                <w:szCs w:val="18"/>
                <w:lang w:val="en-GB"/>
              </w:rPr>
              <w:t>Direct GHG emissions</w:t>
            </w:r>
          </w:p>
        </w:tc>
        <w:tc>
          <w:tcPr>
            <w:tcW w:w="1952" w:type="pct"/>
            <w:shd w:val="clear" w:color="auto" w:fill="F2F2F2" w:themeFill="background1" w:themeFillShade="F2"/>
            <w:vAlign w:val="center"/>
          </w:tcPr>
          <w:p w14:paraId="33ECC200" w14:textId="77777777" w:rsidR="006E6FBE" w:rsidRPr="00982546" w:rsidRDefault="00610048" w:rsidP="00674CB1">
            <w:pPr>
              <w:jc w:val="left"/>
              <w:rPr>
                <w:sz w:val="18"/>
                <w:szCs w:val="18"/>
              </w:rPr>
            </w:pPr>
            <w:r w:rsidRPr="00982546">
              <w:rPr>
                <w:sz w:val="18"/>
                <w:szCs w:val="18"/>
              </w:rPr>
              <w:t>CO</w:t>
            </w:r>
            <w:r w:rsidRPr="00982546">
              <w:rPr>
                <w:sz w:val="18"/>
                <w:szCs w:val="18"/>
                <w:vertAlign w:val="subscript"/>
              </w:rPr>
              <w:t>2</w:t>
            </w:r>
            <w:r w:rsidRPr="00982546">
              <w:rPr>
                <w:sz w:val="18"/>
                <w:szCs w:val="18"/>
              </w:rPr>
              <w:t>-</w:t>
            </w:r>
            <w:r w:rsidR="00C97DD8">
              <w:rPr>
                <w:sz w:val="18"/>
                <w:szCs w:val="18"/>
              </w:rPr>
              <w:t>dashboard</w:t>
            </w:r>
            <w:r w:rsidRPr="00982546">
              <w:rPr>
                <w:sz w:val="18"/>
                <w:szCs w:val="18"/>
              </w:rPr>
              <w:t>, tabblad “CO</w:t>
            </w:r>
            <w:r w:rsidRPr="00982546">
              <w:rPr>
                <w:sz w:val="18"/>
                <w:szCs w:val="18"/>
                <w:vertAlign w:val="subscript"/>
              </w:rPr>
              <w:t>2</w:t>
            </w:r>
            <w:r w:rsidRPr="00982546">
              <w:rPr>
                <w:sz w:val="18"/>
                <w:szCs w:val="18"/>
              </w:rPr>
              <w:t>-em</w:t>
            </w:r>
            <w:r w:rsidR="004D1809" w:rsidRPr="00982546">
              <w:rPr>
                <w:sz w:val="18"/>
                <w:szCs w:val="18"/>
              </w:rPr>
              <w:t>issie-inventaris”, tota</w:t>
            </w:r>
            <w:r w:rsidR="001A3CA4" w:rsidRPr="00982546">
              <w:rPr>
                <w:sz w:val="18"/>
                <w:szCs w:val="18"/>
              </w:rPr>
              <w:t>a</w:t>
            </w:r>
            <w:r w:rsidR="004D1809" w:rsidRPr="00982546">
              <w:rPr>
                <w:sz w:val="18"/>
                <w:szCs w:val="18"/>
              </w:rPr>
              <w:t>l scope</w:t>
            </w:r>
            <w:r w:rsidR="001A3CA4" w:rsidRPr="00982546">
              <w:rPr>
                <w:sz w:val="18"/>
                <w:szCs w:val="18"/>
              </w:rPr>
              <w:t xml:space="preserve"> 1</w:t>
            </w:r>
            <w:r w:rsidR="00037A57" w:rsidRPr="00982546">
              <w:rPr>
                <w:sz w:val="18"/>
                <w:szCs w:val="18"/>
              </w:rPr>
              <w:t xml:space="preserve"> en</w:t>
            </w:r>
            <w:r w:rsidR="00982546">
              <w:rPr>
                <w:sz w:val="18"/>
                <w:szCs w:val="18"/>
              </w:rPr>
              <w:t xml:space="preserve"> Verslag</w:t>
            </w:r>
            <w:r w:rsidR="00037A57" w:rsidRPr="00982546">
              <w:rPr>
                <w:sz w:val="18"/>
                <w:szCs w:val="18"/>
              </w:rPr>
              <w:t xml:space="preserve">, </w:t>
            </w:r>
            <w:r w:rsidR="001D1B72" w:rsidRPr="001D1B72">
              <w:rPr>
                <w:rFonts w:eastAsia="SimSun"/>
                <w:bCs/>
                <w:caps/>
                <w:szCs w:val="20"/>
              </w:rPr>
              <w:t>§</w:t>
            </w:r>
            <w:r w:rsidR="00037A57" w:rsidRPr="00982546">
              <w:rPr>
                <w:sz w:val="18"/>
                <w:szCs w:val="18"/>
              </w:rPr>
              <w:t>5.</w:t>
            </w:r>
            <w:r w:rsidR="009558F7" w:rsidRPr="00982546">
              <w:rPr>
                <w:sz w:val="18"/>
                <w:szCs w:val="18"/>
              </w:rPr>
              <w:t>4.1</w:t>
            </w:r>
          </w:p>
        </w:tc>
      </w:tr>
      <w:tr w:rsidR="006E6FBE" w:rsidRPr="000D3F7B" w14:paraId="4F47CBD4" w14:textId="77777777" w:rsidTr="005967C0">
        <w:trPr>
          <w:trHeight w:val="323"/>
        </w:trPr>
        <w:tc>
          <w:tcPr>
            <w:tcW w:w="697" w:type="pct"/>
            <w:shd w:val="clear" w:color="auto" w:fill="F2F2F2" w:themeFill="background1" w:themeFillShade="F2"/>
            <w:vAlign w:val="center"/>
          </w:tcPr>
          <w:p w14:paraId="23940325" w14:textId="77777777" w:rsidR="006E6FBE" w:rsidRPr="00F37C18" w:rsidRDefault="006E6FBE" w:rsidP="005967C0">
            <w:pPr>
              <w:jc w:val="center"/>
              <w:rPr>
                <w:sz w:val="18"/>
                <w:szCs w:val="18"/>
              </w:rPr>
            </w:pPr>
            <w:r w:rsidRPr="00F37C18">
              <w:rPr>
                <w:sz w:val="18"/>
                <w:szCs w:val="18"/>
              </w:rPr>
              <w:t>G</w:t>
            </w:r>
          </w:p>
        </w:tc>
        <w:tc>
          <w:tcPr>
            <w:tcW w:w="2351" w:type="pct"/>
            <w:shd w:val="clear" w:color="auto" w:fill="F2F2F2" w:themeFill="background1" w:themeFillShade="F2"/>
            <w:vAlign w:val="center"/>
          </w:tcPr>
          <w:p w14:paraId="00495F36" w14:textId="77777777" w:rsidR="006E6FBE" w:rsidRPr="007C1FC8" w:rsidRDefault="00A11CB5" w:rsidP="00674CB1">
            <w:pPr>
              <w:jc w:val="left"/>
              <w:rPr>
                <w:sz w:val="18"/>
                <w:szCs w:val="18"/>
                <w:lang w:val="en-GB"/>
              </w:rPr>
            </w:pPr>
            <w:r>
              <w:rPr>
                <w:sz w:val="18"/>
                <w:szCs w:val="18"/>
                <w:lang w:val="en-GB"/>
              </w:rPr>
              <w:t xml:space="preserve">Treatment of biogenic </w:t>
            </w:r>
            <w:r w:rsidRPr="00A11CB5">
              <w:rPr>
                <w:sz w:val="18"/>
                <w:szCs w:val="18"/>
                <w:lang w:val="en-GB"/>
              </w:rPr>
              <w:t>CO</w:t>
            </w:r>
            <w:r w:rsidRPr="00A11CB5">
              <w:rPr>
                <w:sz w:val="18"/>
                <w:szCs w:val="18"/>
                <w:vertAlign w:val="subscript"/>
                <w:lang w:val="en-GB"/>
              </w:rPr>
              <w:t>2</w:t>
            </w:r>
            <w:r>
              <w:rPr>
                <w:sz w:val="18"/>
                <w:szCs w:val="18"/>
                <w:lang w:val="en-GB"/>
              </w:rPr>
              <w:t xml:space="preserve"> emissions and removals</w:t>
            </w:r>
          </w:p>
        </w:tc>
        <w:tc>
          <w:tcPr>
            <w:tcW w:w="1952" w:type="pct"/>
            <w:shd w:val="clear" w:color="auto" w:fill="F2F2F2" w:themeFill="background1" w:themeFillShade="F2"/>
            <w:vAlign w:val="center"/>
          </w:tcPr>
          <w:p w14:paraId="19D65A02" w14:textId="77777777" w:rsidR="006E6FBE" w:rsidRPr="00F37C18" w:rsidRDefault="00982546" w:rsidP="00674CB1">
            <w:pPr>
              <w:jc w:val="left"/>
              <w:rPr>
                <w:sz w:val="18"/>
                <w:szCs w:val="18"/>
              </w:rPr>
            </w:pPr>
            <w:r>
              <w:rPr>
                <w:sz w:val="18"/>
                <w:szCs w:val="18"/>
              </w:rPr>
              <w:t>Verslag</w:t>
            </w:r>
            <w:r w:rsidR="001D7F90">
              <w:rPr>
                <w:sz w:val="18"/>
                <w:szCs w:val="18"/>
                <w:lang w:val="en-US"/>
              </w:rPr>
              <w:t xml:space="preserve">, </w:t>
            </w:r>
            <w:r w:rsidR="001D1B72" w:rsidRPr="001D1B72">
              <w:rPr>
                <w:rFonts w:eastAsia="SimSun"/>
                <w:bCs/>
                <w:caps/>
                <w:szCs w:val="20"/>
              </w:rPr>
              <w:t>§</w:t>
            </w:r>
            <w:r w:rsidR="001D7F90">
              <w:rPr>
                <w:sz w:val="18"/>
                <w:szCs w:val="18"/>
                <w:lang w:val="en-US"/>
              </w:rPr>
              <w:t>5.</w:t>
            </w:r>
            <w:r w:rsidR="003323D2">
              <w:rPr>
                <w:sz w:val="18"/>
                <w:szCs w:val="18"/>
                <w:lang w:val="en-US"/>
              </w:rPr>
              <w:t>5</w:t>
            </w:r>
          </w:p>
        </w:tc>
      </w:tr>
      <w:tr w:rsidR="006E6FBE" w:rsidRPr="000D3F7B" w14:paraId="41EA1CB3" w14:textId="77777777" w:rsidTr="005967C0">
        <w:trPr>
          <w:trHeight w:val="337"/>
        </w:trPr>
        <w:tc>
          <w:tcPr>
            <w:tcW w:w="697" w:type="pct"/>
            <w:shd w:val="clear" w:color="auto" w:fill="F2F2F2" w:themeFill="background1" w:themeFillShade="F2"/>
            <w:vAlign w:val="center"/>
          </w:tcPr>
          <w:p w14:paraId="106368B4" w14:textId="77777777" w:rsidR="006E6FBE" w:rsidRPr="00F37C18" w:rsidRDefault="006E6FBE" w:rsidP="005967C0">
            <w:pPr>
              <w:jc w:val="center"/>
              <w:rPr>
                <w:sz w:val="18"/>
                <w:szCs w:val="18"/>
              </w:rPr>
            </w:pPr>
            <w:r w:rsidRPr="00F37C18">
              <w:rPr>
                <w:sz w:val="18"/>
                <w:szCs w:val="18"/>
              </w:rPr>
              <w:t>H</w:t>
            </w:r>
          </w:p>
        </w:tc>
        <w:tc>
          <w:tcPr>
            <w:tcW w:w="2351" w:type="pct"/>
            <w:shd w:val="clear" w:color="auto" w:fill="F2F2F2" w:themeFill="background1" w:themeFillShade="F2"/>
            <w:vAlign w:val="center"/>
          </w:tcPr>
          <w:p w14:paraId="50B48187" w14:textId="77777777" w:rsidR="006E6FBE" w:rsidRPr="007C1FC8" w:rsidRDefault="006E6FBE" w:rsidP="00674CB1">
            <w:pPr>
              <w:jc w:val="left"/>
              <w:rPr>
                <w:sz w:val="18"/>
                <w:szCs w:val="18"/>
                <w:lang w:val="en-GB"/>
              </w:rPr>
            </w:pPr>
            <w:r w:rsidRPr="007C1FC8">
              <w:rPr>
                <w:sz w:val="18"/>
                <w:szCs w:val="18"/>
                <w:lang w:val="en-GB"/>
              </w:rPr>
              <w:t>GHG removals</w:t>
            </w:r>
          </w:p>
        </w:tc>
        <w:tc>
          <w:tcPr>
            <w:tcW w:w="1952" w:type="pct"/>
            <w:shd w:val="clear" w:color="auto" w:fill="F2F2F2" w:themeFill="background1" w:themeFillShade="F2"/>
            <w:vAlign w:val="center"/>
          </w:tcPr>
          <w:p w14:paraId="37DA0477" w14:textId="77777777" w:rsidR="006E6FBE" w:rsidRPr="00F37C18" w:rsidRDefault="00982546" w:rsidP="00674CB1">
            <w:pPr>
              <w:jc w:val="left"/>
              <w:rPr>
                <w:sz w:val="18"/>
                <w:szCs w:val="18"/>
              </w:rPr>
            </w:pPr>
            <w:r>
              <w:rPr>
                <w:sz w:val="18"/>
                <w:szCs w:val="18"/>
              </w:rPr>
              <w:t>Verslag</w:t>
            </w:r>
            <w:r w:rsidR="00515730">
              <w:rPr>
                <w:sz w:val="18"/>
                <w:szCs w:val="18"/>
                <w:lang w:val="en-US"/>
              </w:rPr>
              <w:t xml:space="preserve">, </w:t>
            </w:r>
            <w:r w:rsidR="001D1B72" w:rsidRPr="001D1B72">
              <w:rPr>
                <w:rFonts w:eastAsia="SimSun"/>
                <w:bCs/>
                <w:caps/>
                <w:szCs w:val="20"/>
              </w:rPr>
              <w:t>§</w:t>
            </w:r>
            <w:r w:rsidR="00515730">
              <w:rPr>
                <w:sz w:val="18"/>
                <w:szCs w:val="18"/>
                <w:lang w:val="en-US"/>
              </w:rPr>
              <w:t>5.</w:t>
            </w:r>
            <w:r w:rsidR="001D1B72">
              <w:rPr>
                <w:sz w:val="18"/>
                <w:szCs w:val="18"/>
                <w:lang w:val="en-US"/>
              </w:rPr>
              <w:t>5</w:t>
            </w:r>
          </w:p>
        </w:tc>
      </w:tr>
      <w:tr w:rsidR="006E6FBE" w:rsidRPr="000D3F7B" w14:paraId="0C6FAC08" w14:textId="77777777" w:rsidTr="005967C0">
        <w:trPr>
          <w:trHeight w:val="337"/>
        </w:trPr>
        <w:tc>
          <w:tcPr>
            <w:tcW w:w="697" w:type="pct"/>
            <w:shd w:val="clear" w:color="auto" w:fill="F2F2F2" w:themeFill="background1" w:themeFillShade="F2"/>
            <w:vAlign w:val="center"/>
          </w:tcPr>
          <w:p w14:paraId="4D5BE634" w14:textId="77777777" w:rsidR="006E6FBE" w:rsidRPr="00F37C18" w:rsidRDefault="006E6FBE" w:rsidP="005967C0">
            <w:pPr>
              <w:jc w:val="center"/>
              <w:rPr>
                <w:sz w:val="18"/>
                <w:szCs w:val="18"/>
              </w:rPr>
            </w:pPr>
            <w:r w:rsidRPr="00F37C18">
              <w:rPr>
                <w:sz w:val="18"/>
                <w:szCs w:val="18"/>
              </w:rPr>
              <w:t>I</w:t>
            </w:r>
          </w:p>
        </w:tc>
        <w:tc>
          <w:tcPr>
            <w:tcW w:w="2351" w:type="pct"/>
            <w:shd w:val="clear" w:color="auto" w:fill="F2F2F2" w:themeFill="background1" w:themeFillShade="F2"/>
            <w:vAlign w:val="center"/>
          </w:tcPr>
          <w:p w14:paraId="599B374D" w14:textId="77777777" w:rsidR="006E6FBE" w:rsidRPr="007C1FC8" w:rsidRDefault="006E6FBE" w:rsidP="00674CB1">
            <w:pPr>
              <w:jc w:val="left"/>
              <w:rPr>
                <w:sz w:val="18"/>
                <w:szCs w:val="18"/>
                <w:lang w:val="en-GB"/>
              </w:rPr>
            </w:pPr>
            <w:r w:rsidRPr="007C1FC8">
              <w:rPr>
                <w:sz w:val="18"/>
                <w:szCs w:val="18"/>
                <w:lang w:val="en-GB"/>
              </w:rPr>
              <w:t>Exclusion of sources or sinks</w:t>
            </w:r>
          </w:p>
        </w:tc>
        <w:tc>
          <w:tcPr>
            <w:tcW w:w="1952" w:type="pct"/>
            <w:shd w:val="clear" w:color="auto" w:fill="F2F2F2" w:themeFill="background1" w:themeFillShade="F2"/>
            <w:vAlign w:val="center"/>
          </w:tcPr>
          <w:p w14:paraId="32A559B8" w14:textId="77777777" w:rsidR="006E6FBE" w:rsidRPr="00F37C18" w:rsidRDefault="00982546" w:rsidP="00674CB1">
            <w:pPr>
              <w:jc w:val="left"/>
              <w:rPr>
                <w:sz w:val="18"/>
                <w:szCs w:val="18"/>
              </w:rPr>
            </w:pPr>
            <w:r>
              <w:rPr>
                <w:sz w:val="18"/>
                <w:szCs w:val="18"/>
              </w:rPr>
              <w:t>Verslag</w:t>
            </w:r>
            <w:r w:rsidR="001D7F90">
              <w:rPr>
                <w:sz w:val="18"/>
                <w:szCs w:val="18"/>
                <w:lang w:val="en-US"/>
              </w:rPr>
              <w:t xml:space="preserve">, </w:t>
            </w:r>
            <w:r w:rsidR="001D1B72" w:rsidRPr="001D1B72">
              <w:rPr>
                <w:rFonts w:eastAsia="SimSun"/>
                <w:bCs/>
                <w:caps/>
                <w:szCs w:val="20"/>
              </w:rPr>
              <w:t>§</w:t>
            </w:r>
            <w:r w:rsidR="001D7F90">
              <w:rPr>
                <w:sz w:val="18"/>
                <w:szCs w:val="18"/>
                <w:lang w:val="en-US"/>
              </w:rPr>
              <w:t>5.</w:t>
            </w:r>
            <w:r w:rsidR="001D1B72">
              <w:rPr>
                <w:sz w:val="18"/>
                <w:szCs w:val="18"/>
                <w:lang w:val="en-US"/>
              </w:rPr>
              <w:t>4.</w:t>
            </w:r>
            <w:r w:rsidR="00EE7E62">
              <w:rPr>
                <w:sz w:val="18"/>
                <w:szCs w:val="18"/>
                <w:lang w:val="en-US"/>
              </w:rPr>
              <w:t>2</w:t>
            </w:r>
          </w:p>
        </w:tc>
      </w:tr>
      <w:tr w:rsidR="0058518D" w:rsidRPr="00725A55" w14:paraId="384BB5EE" w14:textId="77777777" w:rsidTr="005967C0">
        <w:trPr>
          <w:trHeight w:val="323"/>
        </w:trPr>
        <w:tc>
          <w:tcPr>
            <w:tcW w:w="697" w:type="pct"/>
            <w:shd w:val="clear" w:color="auto" w:fill="F2F2F2" w:themeFill="background1" w:themeFillShade="F2"/>
            <w:vAlign w:val="center"/>
          </w:tcPr>
          <w:p w14:paraId="33276D9F" w14:textId="77777777" w:rsidR="0058518D" w:rsidRPr="00F37C18" w:rsidRDefault="0058518D" w:rsidP="0058518D">
            <w:pPr>
              <w:jc w:val="center"/>
              <w:rPr>
                <w:sz w:val="18"/>
                <w:szCs w:val="18"/>
              </w:rPr>
            </w:pPr>
            <w:r w:rsidRPr="00F37C18">
              <w:rPr>
                <w:sz w:val="18"/>
                <w:szCs w:val="18"/>
              </w:rPr>
              <w:t>J</w:t>
            </w:r>
          </w:p>
        </w:tc>
        <w:tc>
          <w:tcPr>
            <w:tcW w:w="2351" w:type="pct"/>
            <w:shd w:val="clear" w:color="auto" w:fill="F2F2F2" w:themeFill="background1" w:themeFillShade="F2"/>
            <w:vAlign w:val="center"/>
          </w:tcPr>
          <w:p w14:paraId="0AA547E1" w14:textId="77777777" w:rsidR="0058518D" w:rsidRPr="007C1FC8" w:rsidRDefault="0058518D" w:rsidP="0058518D">
            <w:pPr>
              <w:jc w:val="left"/>
              <w:rPr>
                <w:sz w:val="18"/>
                <w:szCs w:val="18"/>
                <w:lang w:val="en-GB"/>
              </w:rPr>
            </w:pPr>
            <w:r w:rsidRPr="007C1FC8">
              <w:rPr>
                <w:sz w:val="18"/>
                <w:szCs w:val="18"/>
                <w:lang w:val="en-GB"/>
              </w:rPr>
              <w:t>Indirect GHG emissions</w:t>
            </w:r>
          </w:p>
        </w:tc>
        <w:tc>
          <w:tcPr>
            <w:tcW w:w="1952" w:type="pct"/>
            <w:shd w:val="clear" w:color="auto" w:fill="F2F2F2" w:themeFill="background1" w:themeFillShade="F2"/>
            <w:vAlign w:val="center"/>
          </w:tcPr>
          <w:p w14:paraId="01C3316C" w14:textId="3AE206A8" w:rsidR="0058518D" w:rsidRPr="001C47AD" w:rsidRDefault="0058518D" w:rsidP="0058518D">
            <w:pPr>
              <w:jc w:val="left"/>
              <w:rPr>
                <w:sz w:val="18"/>
                <w:szCs w:val="18"/>
              </w:rPr>
            </w:pPr>
            <w:r w:rsidRPr="001C47AD">
              <w:rPr>
                <w:sz w:val="18"/>
                <w:szCs w:val="18"/>
              </w:rPr>
              <w:t>CO</w:t>
            </w:r>
            <w:r w:rsidRPr="001C47AD">
              <w:rPr>
                <w:sz w:val="18"/>
                <w:szCs w:val="18"/>
                <w:vertAlign w:val="subscript"/>
              </w:rPr>
              <w:t>2</w:t>
            </w:r>
            <w:r w:rsidRPr="001C47AD">
              <w:rPr>
                <w:sz w:val="18"/>
                <w:szCs w:val="18"/>
              </w:rPr>
              <w:t>-dashboard, tabblad “CO</w:t>
            </w:r>
            <w:r w:rsidRPr="001C47AD">
              <w:rPr>
                <w:sz w:val="18"/>
                <w:szCs w:val="18"/>
                <w:vertAlign w:val="subscript"/>
              </w:rPr>
              <w:t>2</w:t>
            </w:r>
            <w:r w:rsidRPr="001C47AD">
              <w:rPr>
                <w:sz w:val="18"/>
                <w:szCs w:val="18"/>
              </w:rPr>
              <w:t xml:space="preserve">-emissie-inventaris”, totaal scope 2 en business travel &amp; Scope 3 – kwalitatieve en kwantitatieve analyse, tabblad “Kwantitatieve analyse”, en Verslag, </w:t>
            </w:r>
            <w:r w:rsidRPr="001C47AD">
              <w:rPr>
                <w:rFonts w:eastAsia="SimSun"/>
                <w:bCs/>
                <w:caps/>
                <w:szCs w:val="20"/>
              </w:rPr>
              <w:t>§</w:t>
            </w:r>
            <w:r w:rsidRPr="001C47AD">
              <w:rPr>
                <w:sz w:val="18"/>
                <w:szCs w:val="18"/>
              </w:rPr>
              <w:t>5.4.1</w:t>
            </w:r>
          </w:p>
        </w:tc>
      </w:tr>
      <w:tr w:rsidR="006E6FBE" w:rsidRPr="000D3F7B" w14:paraId="5027CC58" w14:textId="77777777" w:rsidTr="005967C0">
        <w:trPr>
          <w:trHeight w:val="337"/>
        </w:trPr>
        <w:tc>
          <w:tcPr>
            <w:tcW w:w="697" w:type="pct"/>
            <w:shd w:val="clear" w:color="auto" w:fill="F2F2F2" w:themeFill="background1" w:themeFillShade="F2"/>
            <w:vAlign w:val="center"/>
          </w:tcPr>
          <w:p w14:paraId="4B8F400F" w14:textId="77777777" w:rsidR="006E6FBE" w:rsidRPr="00F37C18" w:rsidRDefault="006E6FBE" w:rsidP="005967C0">
            <w:pPr>
              <w:jc w:val="center"/>
              <w:rPr>
                <w:sz w:val="18"/>
                <w:szCs w:val="18"/>
              </w:rPr>
            </w:pPr>
            <w:r w:rsidRPr="00F37C18">
              <w:rPr>
                <w:sz w:val="18"/>
                <w:szCs w:val="18"/>
              </w:rPr>
              <w:t>K</w:t>
            </w:r>
          </w:p>
        </w:tc>
        <w:tc>
          <w:tcPr>
            <w:tcW w:w="2351" w:type="pct"/>
            <w:shd w:val="clear" w:color="auto" w:fill="F2F2F2" w:themeFill="background1" w:themeFillShade="F2"/>
            <w:vAlign w:val="center"/>
          </w:tcPr>
          <w:p w14:paraId="51994CB3" w14:textId="77777777" w:rsidR="006E6FBE" w:rsidRPr="007C1FC8" w:rsidRDefault="006E6FBE" w:rsidP="00674CB1">
            <w:pPr>
              <w:jc w:val="left"/>
              <w:rPr>
                <w:sz w:val="18"/>
                <w:szCs w:val="18"/>
                <w:lang w:val="en-GB"/>
              </w:rPr>
            </w:pPr>
            <w:r w:rsidRPr="007C1FC8">
              <w:rPr>
                <w:sz w:val="18"/>
                <w:szCs w:val="18"/>
                <w:lang w:val="en-GB"/>
              </w:rPr>
              <w:t>Base year</w:t>
            </w:r>
          </w:p>
        </w:tc>
        <w:tc>
          <w:tcPr>
            <w:tcW w:w="1952" w:type="pct"/>
            <w:shd w:val="clear" w:color="auto" w:fill="F2F2F2" w:themeFill="background1" w:themeFillShade="F2"/>
            <w:vAlign w:val="center"/>
          </w:tcPr>
          <w:p w14:paraId="01205349" w14:textId="77777777" w:rsidR="006E6FBE" w:rsidRPr="00F37C18" w:rsidRDefault="00982546" w:rsidP="00674CB1">
            <w:pPr>
              <w:jc w:val="left"/>
              <w:rPr>
                <w:sz w:val="18"/>
                <w:szCs w:val="18"/>
              </w:rPr>
            </w:pPr>
            <w:r>
              <w:rPr>
                <w:sz w:val="18"/>
                <w:szCs w:val="18"/>
              </w:rPr>
              <w:t>Verslag</w:t>
            </w:r>
            <w:r w:rsidR="00FC1289">
              <w:rPr>
                <w:sz w:val="18"/>
                <w:szCs w:val="18"/>
              </w:rPr>
              <w:t xml:space="preserve">, </w:t>
            </w:r>
            <w:r w:rsidR="001D1B72" w:rsidRPr="001D1B72">
              <w:rPr>
                <w:rFonts w:eastAsia="SimSun"/>
                <w:bCs/>
                <w:caps/>
                <w:szCs w:val="20"/>
              </w:rPr>
              <w:t>§</w:t>
            </w:r>
            <w:r w:rsidR="00FC1289">
              <w:rPr>
                <w:sz w:val="18"/>
                <w:szCs w:val="18"/>
              </w:rPr>
              <w:t>5.</w:t>
            </w:r>
            <w:r w:rsidR="001D1B72">
              <w:rPr>
                <w:sz w:val="18"/>
                <w:szCs w:val="18"/>
              </w:rPr>
              <w:t>2</w:t>
            </w:r>
          </w:p>
        </w:tc>
      </w:tr>
      <w:tr w:rsidR="006E6FBE" w:rsidRPr="000D3F7B" w14:paraId="3A420FCC" w14:textId="77777777" w:rsidTr="005967C0">
        <w:trPr>
          <w:trHeight w:val="337"/>
        </w:trPr>
        <w:tc>
          <w:tcPr>
            <w:tcW w:w="697" w:type="pct"/>
            <w:shd w:val="clear" w:color="auto" w:fill="F2F2F2" w:themeFill="background1" w:themeFillShade="F2"/>
            <w:vAlign w:val="center"/>
          </w:tcPr>
          <w:p w14:paraId="21D727FC" w14:textId="77777777" w:rsidR="006E6FBE" w:rsidRPr="00F37C18" w:rsidRDefault="006E6FBE" w:rsidP="005967C0">
            <w:pPr>
              <w:jc w:val="center"/>
              <w:rPr>
                <w:sz w:val="18"/>
                <w:szCs w:val="18"/>
              </w:rPr>
            </w:pPr>
            <w:r w:rsidRPr="00F37C18">
              <w:rPr>
                <w:sz w:val="18"/>
                <w:szCs w:val="18"/>
              </w:rPr>
              <w:t>L</w:t>
            </w:r>
          </w:p>
        </w:tc>
        <w:tc>
          <w:tcPr>
            <w:tcW w:w="2351" w:type="pct"/>
            <w:shd w:val="clear" w:color="auto" w:fill="F2F2F2" w:themeFill="background1" w:themeFillShade="F2"/>
            <w:vAlign w:val="center"/>
          </w:tcPr>
          <w:p w14:paraId="5625AF95" w14:textId="77777777" w:rsidR="006E6FBE" w:rsidRPr="007C1FC8" w:rsidRDefault="006E6FBE" w:rsidP="00674CB1">
            <w:pPr>
              <w:jc w:val="left"/>
              <w:rPr>
                <w:sz w:val="18"/>
                <w:szCs w:val="18"/>
                <w:lang w:val="en-GB"/>
              </w:rPr>
            </w:pPr>
            <w:r w:rsidRPr="007C1FC8">
              <w:rPr>
                <w:sz w:val="18"/>
                <w:szCs w:val="18"/>
                <w:lang w:val="en-GB"/>
              </w:rPr>
              <w:t xml:space="preserve">Changes </w:t>
            </w:r>
            <w:r w:rsidR="00D80A34">
              <w:rPr>
                <w:sz w:val="18"/>
                <w:szCs w:val="18"/>
                <w:lang w:val="en-GB"/>
              </w:rPr>
              <w:t>and</w:t>
            </w:r>
            <w:r w:rsidRPr="007C1FC8">
              <w:rPr>
                <w:sz w:val="18"/>
                <w:szCs w:val="18"/>
                <w:lang w:val="en-GB"/>
              </w:rPr>
              <w:t xml:space="preserve"> recalculations </w:t>
            </w:r>
          </w:p>
        </w:tc>
        <w:tc>
          <w:tcPr>
            <w:tcW w:w="1952" w:type="pct"/>
            <w:shd w:val="clear" w:color="auto" w:fill="F2F2F2" w:themeFill="background1" w:themeFillShade="F2"/>
            <w:vAlign w:val="center"/>
          </w:tcPr>
          <w:p w14:paraId="7ECDDA71" w14:textId="77777777" w:rsidR="006E6FBE" w:rsidRPr="00F37C18" w:rsidRDefault="00982546" w:rsidP="00674CB1">
            <w:pPr>
              <w:jc w:val="left"/>
              <w:rPr>
                <w:sz w:val="18"/>
                <w:szCs w:val="18"/>
              </w:rPr>
            </w:pPr>
            <w:r>
              <w:rPr>
                <w:sz w:val="18"/>
                <w:szCs w:val="18"/>
              </w:rPr>
              <w:t>Verslag</w:t>
            </w:r>
            <w:r w:rsidR="00DA2EA1">
              <w:rPr>
                <w:sz w:val="18"/>
                <w:szCs w:val="18"/>
              </w:rPr>
              <w:t xml:space="preserve">, </w:t>
            </w:r>
            <w:r w:rsidR="001D1B72" w:rsidRPr="001D1B72">
              <w:rPr>
                <w:rFonts w:eastAsia="SimSun"/>
                <w:bCs/>
                <w:caps/>
                <w:szCs w:val="20"/>
              </w:rPr>
              <w:t>§</w:t>
            </w:r>
            <w:r w:rsidR="00DA2EA1">
              <w:rPr>
                <w:sz w:val="18"/>
                <w:szCs w:val="18"/>
              </w:rPr>
              <w:t>5.</w:t>
            </w:r>
            <w:r w:rsidR="001D1B72">
              <w:rPr>
                <w:sz w:val="18"/>
                <w:szCs w:val="18"/>
              </w:rPr>
              <w:t>2</w:t>
            </w:r>
            <w:r w:rsidR="00DA2EA1">
              <w:rPr>
                <w:sz w:val="18"/>
                <w:szCs w:val="18"/>
              </w:rPr>
              <w:t>.1</w:t>
            </w:r>
          </w:p>
        </w:tc>
      </w:tr>
      <w:tr w:rsidR="006E6FBE" w:rsidRPr="000D3F7B" w14:paraId="2A873732" w14:textId="77777777" w:rsidTr="005967C0">
        <w:trPr>
          <w:trHeight w:val="323"/>
        </w:trPr>
        <w:tc>
          <w:tcPr>
            <w:tcW w:w="697" w:type="pct"/>
            <w:shd w:val="clear" w:color="auto" w:fill="F2F2F2" w:themeFill="background1" w:themeFillShade="F2"/>
            <w:vAlign w:val="center"/>
          </w:tcPr>
          <w:p w14:paraId="1364CA92" w14:textId="77777777" w:rsidR="006E6FBE" w:rsidRPr="00F37C18" w:rsidRDefault="006E6FBE" w:rsidP="005967C0">
            <w:pPr>
              <w:jc w:val="center"/>
              <w:rPr>
                <w:sz w:val="18"/>
                <w:szCs w:val="18"/>
              </w:rPr>
            </w:pPr>
            <w:r w:rsidRPr="00F37C18">
              <w:rPr>
                <w:sz w:val="18"/>
                <w:szCs w:val="18"/>
              </w:rPr>
              <w:t>M</w:t>
            </w:r>
          </w:p>
        </w:tc>
        <w:tc>
          <w:tcPr>
            <w:tcW w:w="2351" w:type="pct"/>
            <w:shd w:val="clear" w:color="auto" w:fill="F2F2F2" w:themeFill="background1" w:themeFillShade="F2"/>
            <w:vAlign w:val="center"/>
          </w:tcPr>
          <w:p w14:paraId="1CBC0521" w14:textId="77777777" w:rsidR="006E6FBE" w:rsidRPr="007C1FC8" w:rsidRDefault="0024597E" w:rsidP="00674CB1">
            <w:pPr>
              <w:jc w:val="left"/>
              <w:rPr>
                <w:sz w:val="18"/>
                <w:szCs w:val="18"/>
                <w:lang w:val="en-GB"/>
              </w:rPr>
            </w:pPr>
            <w:r>
              <w:rPr>
                <w:sz w:val="18"/>
                <w:szCs w:val="18"/>
                <w:lang w:val="en-GB"/>
              </w:rPr>
              <w:t>Quantification approaches</w:t>
            </w:r>
          </w:p>
        </w:tc>
        <w:tc>
          <w:tcPr>
            <w:tcW w:w="1952" w:type="pct"/>
            <w:shd w:val="clear" w:color="auto" w:fill="F2F2F2" w:themeFill="background1" w:themeFillShade="F2"/>
            <w:vAlign w:val="center"/>
          </w:tcPr>
          <w:p w14:paraId="741D7E67" w14:textId="77777777" w:rsidR="006E6FBE" w:rsidRPr="00F37C18" w:rsidRDefault="00982546" w:rsidP="00674CB1">
            <w:pPr>
              <w:jc w:val="left"/>
              <w:rPr>
                <w:sz w:val="18"/>
                <w:szCs w:val="18"/>
              </w:rPr>
            </w:pPr>
            <w:r>
              <w:rPr>
                <w:sz w:val="18"/>
                <w:szCs w:val="18"/>
              </w:rPr>
              <w:t>Verslag</w:t>
            </w:r>
            <w:r w:rsidR="00981444">
              <w:rPr>
                <w:sz w:val="18"/>
                <w:szCs w:val="18"/>
                <w:lang w:val="en-US"/>
              </w:rPr>
              <w:t xml:space="preserve">, </w:t>
            </w:r>
            <w:r w:rsidR="001D1B72" w:rsidRPr="001D1B72">
              <w:rPr>
                <w:rFonts w:eastAsia="SimSun"/>
                <w:bCs/>
                <w:caps/>
                <w:szCs w:val="20"/>
              </w:rPr>
              <w:t>§</w:t>
            </w:r>
            <w:r w:rsidR="00981444">
              <w:rPr>
                <w:sz w:val="18"/>
                <w:szCs w:val="18"/>
                <w:lang w:val="en-US"/>
              </w:rPr>
              <w:t>5.</w:t>
            </w:r>
            <w:r w:rsidR="001D1B72">
              <w:rPr>
                <w:sz w:val="18"/>
                <w:szCs w:val="18"/>
                <w:lang w:val="en-US"/>
              </w:rPr>
              <w:t>3</w:t>
            </w:r>
          </w:p>
        </w:tc>
      </w:tr>
      <w:tr w:rsidR="006E6FBE" w:rsidRPr="000D3F7B" w14:paraId="35DBB942" w14:textId="77777777" w:rsidTr="005967C0">
        <w:trPr>
          <w:trHeight w:val="337"/>
        </w:trPr>
        <w:tc>
          <w:tcPr>
            <w:tcW w:w="697" w:type="pct"/>
            <w:shd w:val="clear" w:color="auto" w:fill="F2F2F2" w:themeFill="background1" w:themeFillShade="F2"/>
            <w:vAlign w:val="center"/>
          </w:tcPr>
          <w:p w14:paraId="205D43B8" w14:textId="77777777" w:rsidR="006E6FBE" w:rsidRPr="00F37C18" w:rsidRDefault="006E6FBE" w:rsidP="005967C0">
            <w:pPr>
              <w:jc w:val="center"/>
              <w:rPr>
                <w:sz w:val="18"/>
                <w:szCs w:val="18"/>
              </w:rPr>
            </w:pPr>
            <w:r w:rsidRPr="00F37C18">
              <w:rPr>
                <w:sz w:val="18"/>
                <w:szCs w:val="18"/>
              </w:rPr>
              <w:t>N</w:t>
            </w:r>
          </w:p>
        </w:tc>
        <w:tc>
          <w:tcPr>
            <w:tcW w:w="2351" w:type="pct"/>
            <w:shd w:val="clear" w:color="auto" w:fill="F2F2F2" w:themeFill="background1" w:themeFillShade="F2"/>
            <w:vAlign w:val="center"/>
          </w:tcPr>
          <w:p w14:paraId="34FBB96B" w14:textId="77777777" w:rsidR="006E6FBE" w:rsidRPr="007C1FC8" w:rsidRDefault="006E6FBE" w:rsidP="00674CB1">
            <w:pPr>
              <w:jc w:val="left"/>
              <w:rPr>
                <w:sz w:val="18"/>
                <w:szCs w:val="18"/>
                <w:lang w:val="en-GB"/>
              </w:rPr>
            </w:pPr>
            <w:r w:rsidRPr="007C1FC8">
              <w:rPr>
                <w:sz w:val="18"/>
                <w:szCs w:val="18"/>
                <w:lang w:val="en-GB"/>
              </w:rPr>
              <w:t>Changes to methodologies</w:t>
            </w:r>
          </w:p>
        </w:tc>
        <w:tc>
          <w:tcPr>
            <w:tcW w:w="1952" w:type="pct"/>
            <w:shd w:val="clear" w:color="auto" w:fill="F2F2F2" w:themeFill="background1" w:themeFillShade="F2"/>
            <w:vAlign w:val="center"/>
          </w:tcPr>
          <w:p w14:paraId="380513F7" w14:textId="77777777" w:rsidR="006E6FBE" w:rsidRPr="00F37C18" w:rsidRDefault="00982546" w:rsidP="00674CB1">
            <w:pPr>
              <w:jc w:val="left"/>
              <w:rPr>
                <w:sz w:val="18"/>
                <w:szCs w:val="18"/>
              </w:rPr>
            </w:pPr>
            <w:r>
              <w:rPr>
                <w:sz w:val="18"/>
                <w:szCs w:val="18"/>
              </w:rPr>
              <w:t>Verslag</w:t>
            </w:r>
            <w:r w:rsidR="00981444">
              <w:rPr>
                <w:sz w:val="18"/>
                <w:szCs w:val="18"/>
                <w:lang w:val="en-US"/>
              </w:rPr>
              <w:t xml:space="preserve">, </w:t>
            </w:r>
            <w:r w:rsidR="001D1B72" w:rsidRPr="001D1B72">
              <w:rPr>
                <w:rFonts w:eastAsia="SimSun"/>
                <w:bCs/>
                <w:caps/>
                <w:szCs w:val="20"/>
              </w:rPr>
              <w:t>§</w:t>
            </w:r>
            <w:r w:rsidR="00981444">
              <w:rPr>
                <w:sz w:val="18"/>
                <w:szCs w:val="18"/>
                <w:lang w:val="en-US"/>
              </w:rPr>
              <w:t>5.</w:t>
            </w:r>
            <w:r w:rsidR="001D1B72">
              <w:rPr>
                <w:sz w:val="18"/>
                <w:szCs w:val="18"/>
                <w:lang w:val="en-US"/>
              </w:rPr>
              <w:t>3</w:t>
            </w:r>
            <w:r w:rsidR="00981444">
              <w:rPr>
                <w:sz w:val="18"/>
                <w:szCs w:val="18"/>
                <w:lang w:val="en-US"/>
              </w:rPr>
              <w:t>.1</w:t>
            </w:r>
          </w:p>
        </w:tc>
      </w:tr>
      <w:tr w:rsidR="006E6FBE" w:rsidRPr="000D3F7B" w14:paraId="27377F2D" w14:textId="77777777" w:rsidTr="005967C0">
        <w:trPr>
          <w:trHeight w:val="337"/>
        </w:trPr>
        <w:tc>
          <w:tcPr>
            <w:tcW w:w="697" w:type="pct"/>
            <w:shd w:val="clear" w:color="auto" w:fill="F2F2F2" w:themeFill="background1" w:themeFillShade="F2"/>
            <w:vAlign w:val="center"/>
          </w:tcPr>
          <w:p w14:paraId="495EDA3D" w14:textId="77777777" w:rsidR="006E6FBE" w:rsidRPr="00F37C18" w:rsidRDefault="006E6FBE" w:rsidP="005967C0">
            <w:pPr>
              <w:jc w:val="center"/>
              <w:rPr>
                <w:sz w:val="18"/>
                <w:szCs w:val="18"/>
              </w:rPr>
            </w:pPr>
            <w:r w:rsidRPr="00F37C18">
              <w:rPr>
                <w:sz w:val="18"/>
                <w:szCs w:val="18"/>
              </w:rPr>
              <w:t>O</w:t>
            </w:r>
            <w:r>
              <w:rPr>
                <w:sz w:val="18"/>
                <w:szCs w:val="18"/>
              </w:rPr>
              <w:t>, T</w:t>
            </w:r>
          </w:p>
        </w:tc>
        <w:tc>
          <w:tcPr>
            <w:tcW w:w="2351" w:type="pct"/>
            <w:shd w:val="clear" w:color="auto" w:fill="F2F2F2" w:themeFill="background1" w:themeFillShade="F2"/>
            <w:vAlign w:val="center"/>
          </w:tcPr>
          <w:p w14:paraId="56E73804" w14:textId="77777777" w:rsidR="006E6FBE" w:rsidRPr="007C1FC8" w:rsidRDefault="006E6FBE" w:rsidP="00674CB1">
            <w:pPr>
              <w:jc w:val="left"/>
              <w:rPr>
                <w:sz w:val="18"/>
                <w:szCs w:val="18"/>
                <w:lang w:val="en-GB"/>
              </w:rPr>
            </w:pPr>
            <w:r w:rsidRPr="007C1FC8">
              <w:rPr>
                <w:sz w:val="18"/>
                <w:szCs w:val="18"/>
                <w:lang w:val="en-GB"/>
              </w:rPr>
              <w:t>Emission or removal factors used</w:t>
            </w:r>
          </w:p>
        </w:tc>
        <w:tc>
          <w:tcPr>
            <w:tcW w:w="1952" w:type="pct"/>
            <w:shd w:val="clear" w:color="auto" w:fill="F2F2F2" w:themeFill="background1" w:themeFillShade="F2"/>
            <w:vAlign w:val="center"/>
          </w:tcPr>
          <w:p w14:paraId="7F5CD3D5" w14:textId="77777777" w:rsidR="006E6FBE" w:rsidRPr="00F37C18" w:rsidRDefault="00982546" w:rsidP="00674CB1">
            <w:pPr>
              <w:jc w:val="left"/>
              <w:rPr>
                <w:sz w:val="18"/>
                <w:szCs w:val="18"/>
              </w:rPr>
            </w:pPr>
            <w:r>
              <w:rPr>
                <w:sz w:val="18"/>
                <w:szCs w:val="18"/>
              </w:rPr>
              <w:t>Verslag</w:t>
            </w:r>
            <w:r w:rsidR="00981444">
              <w:rPr>
                <w:sz w:val="18"/>
                <w:szCs w:val="18"/>
                <w:lang w:val="en-US"/>
              </w:rPr>
              <w:t xml:space="preserve">, </w:t>
            </w:r>
            <w:r w:rsidR="001D1B72" w:rsidRPr="001D1B72">
              <w:rPr>
                <w:rFonts w:eastAsia="SimSun"/>
                <w:bCs/>
                <w:caps/>
                <w:szCs w:val="20"/>
              </w:rPr>
              <w:t>§</w:t>
            </w:r>
            <w:r w:rsidR="00981444">
              <w:rPr>
                <w:sz w:val="18"/>
                <w:szCs w:val="18"/>
                <w:lang w:val="en-US"/>
              </w:rPr>
              <w:t>5.</w:t>
            </w:r>
            <w:r w:rsidR="001D1B72">
              <w:rPr>
                <w:sz w:val="18"/>
                <w:szCs w:val="18"/>
                <w:lang w:val="en-US"/>
              </w:rPr>
              <w:t>3</w:t>
            </w:r>
          </w:p>
        </w:tc>
      </w:tr>
      <w:tr w:rsidR="006E6FBE" w:rsidRPr="000D3F7B" w14:paraId="611308C5" w14:textId="77777777" w:rsidTr="005967C0">
        <w:trPr>
          <w:trHeight w:val="323"/>
        </w:trPr>
        <w:tc>
          <w:tcPr>
            <w:tcW w:w="697" w:type="pct"/>
            <w:shd w:val="clear" w:color="auto" w:fill="F2F2F2" w:themeFill="background1" w:themeFillShade="F2"/>
            <w:vAlign w:val="center"/>
          </w:tcPr>
          <w:p w14:paraId="1716B14D" w14:textId="77777777" w:rsidR="006E6FBE" w:rsidRPr="00F37C18" w:rsidRDefault="006E6FBE" w:rsidP="005967C0">
            <w:pPr>
              <w:jc w:val="center"/>
              <w:rPr>
                <w:sz w:val="18"/>
                <w:szCs w:val="18"/>
              </w:rPr>
            </w:pPr>
            <w:r w:rsidRPr="00F37C18">
              <w:rPr>
                <w:sz w:val="18"/>
                <w:szCs w:val="18"/>
              </w:rPr>
              <w:t>P, Q</w:t>
            </w:r>
          </w:p>
        </w:tc>
        <w:tc>
          <w:tcPr>
            <w:tcW w:w="2351" w:type="pct"/>
            <w:shd w:val="clear" w:color="auto" w:fill="F2F2F2" w:themeFill="background1" w:themeFillShade="F2"/>
            <w:vAlign w:val="center"/>
          </w:tcPr>
          <w:p w14:paraId="5C9C832E" w14:textId="77777777" w:rsidR="006E6FBE" w:rsidRPr="007C1FC8" w:rsidRDefault="006E6FBE" w:rsidP="00674CB1">
            <w:pPr>
              <w:jc w:val="left"/>
              <w:rPr>
                <w:sz w:val="18"/>
                <w:szCs w:val="18"/>
                <w:lang w:val="en-GB"/>
              </w:rPr>
            </w:pPr>
            <w:r w:rsidRPr="007C1FC8">
              <w:rPr>
                <w:sz w:val="18"/>
                <w:szCs w:val="18"/>
                <w:lang w:val="en-GB"/>
              </w:rPr>
              <w:t>Uncertainties</w:t>
            </w:r>
          </w:p>
        </w:tc>
        <w:tc>
          <w:tcPr>
            <w:tcW w:w="1952" w:type="pct"/>
            <w:shd w:val="clear" w:color="auto" w:fill="F2F2F2" w:themeFill="background1" w:themeFillShade="F2"/>
            <w:vAlign w:val="center"/>
          </w:tcPr>
          <w:p w14:paraId="7B615BFE" w14:textId="77777777" w:rsidR="006E6FBE" w:rsidRPr="00F37C18" w:rsidRDefault="00B34761" w:rsidP="00674CB1">
            <w:pPr>
              <w:jc w:val="left"/>
              <w:rPr>
                <w:sz w:val="18"/>
                <w:szCs w:val="18"/>
              </w:rPr>
            </w:pPr>
            <w:r>
              <w:rPr>
                <w:sz w:val="18"/>
                <w:szCs w:val="18"/>
              </w:rPr>
              <w:t>Acties, planning en verantwoordelijkheden, tabblad “dataverzameling”</w:t>
            </w:r>
            <w:r w:rsidR="00251E51">
              <w:rPr>
                <w:sz w:val="18"/>
                <w:szCs w:val="18"/>
              </w:rPr>
              <w:t xml:space="preserve">, en </w:t>
            </w:r>
            <w:r w:rsidR="00982546">
              <w:rPr>
                <w:sz w:val="18"/>
                <w:szCs w:val="18"/>
              </w:rPr>
              <w:t>Verslag</w:t>
            </w:r>
            <w:r w:rsidR="001D1B72" w:rsidRPr="00B34761">
              <w:rPr>
                <w:sz w:val="18"/>
                <w:szCs w:val="18"/>
              </w:rPr>
              <w:t xml:space="preserve">, </w:t>
            </w:r>
            <w:r w:rsidR="001D1B72" w:rsidRPr="001D1B72">
              <w:rPr>
                <w:rFonts w:eastAsia="SimSun"/>
                <w:bCs/>
                <w:caps/>
                <w:szCs w:val="20"/>
              </w:rPr>
              <w:t>§</w:t>
            </w:r>
            <w:r w:rsidR="001D1B72" w:rsidRPr="00B34761">
              <w:rPr>
                <w:sz w:val="18"/>
                <w:szCs w:val="18"/>
              </w:rPr>
              <w:t>5.6</w:t>
            </w:r>
          </w:p>
        </w:tc>
      </w:tr>
      <w:tr w:rsidR="006E6FBE" w:rsidRPr="000D3F7B" w14:paraId="567C2E7E" w14:textId="77777777" w:rsidTr="005967C0">
        <w:trPr>
          <w:trHeight w:val="77"/>
        </w:trPr>
        <w:tc>
          <w:tcPr>
            <w:tcW w:w="697" w:type="pct"/>
            <w:shd w:val="clear" w:color="auto" w:fill="F2F2F2" w:themeFill="background1" w:themeFillShade="F2"/>
            <w:vAlign w:val="center"/>
          </w:tcPr>
          <w:p w14:paraId="3244642E" w14:textId="77777777" w:rsidR="006E6FBE" w:rsidRPr="00F37C18" w:rsidRDefault="006E6FBE" w:rsidP="005967C0">
            <w:pPr>
              <w:jc w:val="center"/>
              <w:rPr>
                <w:sz w:val="18"/>
                <w:szCs w:val="18"/>
              </w:rPr>
            </w:pPr>
            <w:r w:rsidRPr="00F37C18">
              <w:rPr>
                <w:sz w:val="18"/>
                <w:szCs w:val="18"/>
              </w:rPr>
              <w:t>R</w:t>
            </w:r>
          </w:p>
        </w:tc>
        <w:tc>
          <w:tcPr>
            <w:tcW w:w="2351" w:type="pct"/>
            <w:shd w:val="clear" w:color="auto" w:fill="F2F2F2" w:themeFill="background1" w:themeFillShade="F2"/>
            <w:vAlign w:val="center"/>
          </w:tcPr>
          <w:p w14:paraId="04C400CC" w14:textId="77777777" w:rsidR="006E6FBE" w:rsidRPr="007C1FC8" w:rsidRDefault="006E6FBE" w:rsidP="00674CB1">
            <w:pPr>
              <w:jc w:val="left"/>
              <w:rPr>
                <w:sz w:val="18"/>
                <w:szCs w:val="18"/>
                <w:lang w:val="en-GB"/>
              </w:rPr>
            </w:pPr>
            <w:r w:rsidRPr="007C1FC8">
              <w:rPr>
                <w:sz w:val="18"/>
                <w:szCs w:val="18"/>
                <w:lang w:val="en-GB"/>
              </w:rPr>
              <w:t>Statement in accordance with ISO 14064-1</w:t>
            </w:r>
          </w:p>
        </w:tc>
        <w:tc>
          <w:tcPr>
            <w:tcW w:w="1952" w:type="pct"/>
            <w:shd w:val="clear" w:color="auto" w:fill="F2F2F2" w:themeFill="background1" w:themeFillShade="F2"/>
            <w:vAlign w:val="center"/>
          </w:tcPr>
          <w:p w14:paraId="6E5F3B8B" w14:textId="77777777" w:rsidR="006E6FBE" w:rsidRPr="00F37C18" w:rsidRDefault="00982546" w:rsidP="00674CB1">
            <w:pPr>
              <w:jc w:val="left"/>
              <w:rPr>
                <w:sz w:val="18"/>
                <w:szCs w:val="18"/>
              </w:rPr>
            </w:pPr>
            <w:r>
              <w:rPr>
                <w:sz w:val="18"/>
                <w:szCs w:val="18"/>
              </w:rPr>
              <w:t>Verslag</w:t>
            </w:r>
            <w:r w:rsidR="00DC40AB">
              <w:rPr>
                <w:sz w:val="18"/>
                <w:szCs w:val="18"/>
                <w:lang w:val="en-US"/>
              </w:rPr>
              <w:t xml:space="preserve">, </w:t>
            </w:r>
            <w:r w:rsidR="001D1B72" w:rsidRPr="001D1B72">
              <w:rPr>
                <w:rFonts w:eastAsia="SimSun"/>
                <w:bCs/>
                <w:caps/>
                <w:szCs w:val="20"/>
              </w:rPr>
              <w:t>§</w:t>
            </w:r>
            <w:r w:rsidR="00DC40AB">
              <w:rPr>
                <w:sz w:val="18"/>
                <w:szCs w:val="18"/>
                <w:lang w:val="en-US"/>
              </w:rPr>
              <w:t>5.1</w:t>
            </w:r>
          </w:p>
        </w:tc>
      </w:tr>
      <w:tr w:rsidR="006E6FBE" w:rsidRPr="000D3F7B" w14:paraId="7F1C4326" w14:textId="77777777" w:rsidTr="005967C0">
        <w:trPr>
          <w:trHeight w:val="77"/>
        </w:trPr>
        <w:tc>
          <w:tcPr>
            <w:tcW w:w="697" w:type="pct"/>
            <w:shd w:val="clear" w:color="auto" w:fill="F2F2F2" w:themeFill="background1" w:themeFillShade="F2"/>
            <w:vAlign w:val="center"/>
          </w:tcPr>
          <w:p w14:paraId="7510804C" w14:textId="77777777" w:rsidR="006E6FBE" w:rsidRPr="00F37C18" w:rsidRDefault="006E6FBE" w:rsidP="005967C0">
            <w:pPr>
              <w:jc w:val="center"/>
              <w:rPr>
                <w:sz w:val="18"/>
                <w:szCs w:val="18"/>
              </w:rPr>
            </w:pPr>
            <w:r w:rsidRPr="00F37C18">
              <w:rPr>
                <w:sz w:val="18"/>
                <w:szCs w:val="18"/>
              </w:rPr>
              <w:t>S</w:t>
            </w:r>
          </w:p>
        </w:tc>
        <w:tc>
          <w:tcPr>
            <w:tcW w:w="2351" w:type="pct"/>
            <w:shd w:val="clear" w:color="auto" w:fill="F2F2F2" w:themeFill="background1" w:themeFillShade="F2"/>
            <w:vAlign w:val="center"/>
          </w:tcPr>
          <w:p w14:paraId="1516CC5D" w14:textId="77777777" w:rsidR="006E6FBE" w:rsidRPr="007C1FC8" w:rsidRDefault="006E6FBE" w:rsidP="00674CB1">
            <w:pPr>
              <w:jc w:val="left"/>
              <w:rPr>
                <w:sz w:val="18"/>
                <w:szCs w:val="18"/>
                <w:lang w:val="en-GB"/>
              </w:rPr>
            </w:pPr>
            <w:r w:rsidRPr="007C1FC8">
              <w:rPr>
                <w:sz w:val="18"/>
                <w:szCs w:val="18"/>
                <w:lang w:val="en-GB"/>
              </w:rPr>
              <w:t>Verification</w:t>
            </w:r>
          </w:p>
        </w:tc>
        <w:tc>
          <w:tcPr>
            <w:tcW w:w="1952" w:type="pct"/>
            <w:shd w:val="clear" w:color="auto" w:fill="F2F2F2" w:themeFill="background1" w:themeFillShade="F2"/>
            <w:vAlign w:val="center"/>
          </w:tcPr>
          <w:p w14:paraId="26AABCDD" w14:textId="77777777" w:rsidR="006E6FBE" w:rsidRPr="00F37C18" w:rsidRDefault="00982546" w:rsidP="00674CB1">
            <w:pPr>
              <w:keepNext/>
              <w:jc w:val="left"/>
              <w:rPr>
                <w:sz w:val="18"/>
                <w:szCs w:val="18"/>
              </w:rPr>
            </w:pPr>
            <w:r>
              <w:rPr>
                <w:sz w:val="18"/>
                <w:szCs w:val="18"/>
              </w:rPr>
              <w:t>Verslag</w:t>
            </w:r>
            <w:r w:rsidR="001D1B72">
              <w:rPr>
                <w:sz w:val="18"/>
                <w:szCs w:val="18"/>
                <w:lang w:val="en-US"/>
              </w:rPr>
              <w:t xml:space="preserve">, </w:t>
            </w:r>
            <w:r w:rsidR="001D1B72" w:rsidRPr="001D1B72">
              <w:rPr>
                <w:rFonts w:eastAsia="SimSun"/>
                <w:bCs/>
                <w:caps/>
                <w:szCs w:val="20"/>
              </w:rPr>
              <w:t>§</w:t>
            </w:r>
            <w:r w:rsidR="001D1B72">
              <w:rPr>
                <w:sz w:val="18"/>
                <w:szCs w:val="18"/>
                <w:lang w:val="en-US"/>
              </w:rPr>
              <w:t>5.7</w:t>
            </w:r>
          </w:p>
        </w:tc>
      </w:tr>
    </w:tbl>
    <w:p w14:paraId="7A48F2FA" w14:textId="77777777" w:rsidR="001266C3" w:rsidRDefault="001266C3" w:rsidP="001266C3">
      <w:pPr>
        <w:pStyle w:val="Kop2"/>
      </w:pPr>
      <w:bookmarkStart w:id="66" w:name="_Referentiejaar_en_rapportagejaar"/>
      <w:bookmarkStart w:id="67" w:name="_Toc118736233"/>
      <w:bookmarkStart w:id="68" w:name="_Toc142472121"/>
      <w:bookmarkEnd w:id="66"/>
      <w:r>
        <w:t>Referentiejaar en rapportagejaar</w:t>
      </w:r>
      <w:bookmarkEnd w:id="67"/>
      <w:bookmarkEnd w:id="68"/>
    </w:p>
    <w:p w14:paraId="5B9E497E" w14:textId="792B0389" w:rsidR="004F3FD4" w:rsidRDefault="001266C3" w:rsidP="00F325DF">
      <w:pPr>
        <w:rPr>
          <w:color w:val="000000" w:themeColor="text1"/>
        </w:rPr>
      </w:pPr>
      <w:r>
        <w:t>H</w:t>
      </w:r>
      <w:r w:rsidRPr="00A3379A">
        <w:t xml:space="preserve">et </w:t>
      </w:r>
      <w:r w:rsidRPr="001F5421">
        <w:t>jaar 20</w:t>
      </w:r>
      <w:r w:rsidR="001F5421" w:rsidRPr="001F5421">
        <w:t>17</w:t>
      </w:r>
      <w:r w:rsidRPr="001F5421">
        <w:t xml:space="preserve"> dient </w:t>
      </w:r>
      <w:r w:rsidRPr="00A3379A">
        <w:t>als referentiejaar voor de CO</w:t>
      </w:r>
      <w:r w:rsidRPr="00A3379A">
        <w:rPr>
          <w:vertAlign w:val="subscript"/>
        </w:rPr>
        <w:t>2</w:t>
      </w:r>
      <w:r w:rsidRPr="00A3379A">
        <w:t>-reductiedoelstellingen</w:t>
      </w:r>
      <w:r>
        <w:t xml:space="preserve"> en het monitoren van de CO</w:t>
      </w:r>
      <w:r>
        <w:rPr>
          <w:vertAlign w:val="subscript"/>
        </w:rPr>
        <w:t>2</w:t>
      </w:r>
      <w:r>
        <w:t xml:space="preserve">-uitstoot. Dit rapport betreft </w:t>
      </w:r>
      <w:r w:rsidRPr="001F5421">
        <w:t>rapportagejaar 20</w:t>
      </w:r>
      <w:r w:rsidR="001F5421" w:rsidRPr="001F5421">
        <w:t>2</w:t>
      </w:r>
      <w:r w:rsidR="00451E30">
        <w:t>4</w:t>
      </w:r>
      <w:r w:rsidRPr="001F5421">
        <w:t>.</w:t>
      </w:r>
      <w:r w:rsidR="00C853D9" w:rsidRPr="001F5421">
        <w:t xml:space="preserve"> Alle </w:t>
      </w:r>
      <w:r w:rsidR="00C853D9">
        <w:rPr>
          <w:color w:val="000000" w:themeColor="text1"/>
        </w:rPr>
        <w:t>volgende paragrafen in dit hoof</w:t>
      </w:r>
      <w:r w:rsidR="0022750C">
        <w:rPr>
          <w:color w:val="000000" w:themeColor="text1"/>
        </w:rPr>
        <w:t xml:space="preserve">dstuk betreffen het rapportagejaar zoals hier vermeld en de organisatie zoals omschreven in hoofdstuk 4 van dit </w:t>
      </w:r>
      <w:r w:rsidR="00F640F9" w:rsidRPr="00F640F9">
        <w:rPr>
          <w:color w:val="000000" w:themeColor="text1"/>
        </w:rPr>
        <w:t>CO</w:t>
      </w:r>
      <w:r w:rsidR="00F640F9" w:rsidRPr="00F640F9">
        <w:rPr>
          <w:color w:val="000000" w:themeColor="text1"/>
          <w:vertAlign w:val="subscript"/>
        </w:rPr>
        <w:t>2</w:t>
      </w:r>
      <w:r w:rsidR="00F640F9">
        <w:rPr>
          <w:color w:val="000000" w:themeColor="text1"/>
        </w:rPr>
        <w:t xml:space="preserve">-verslag. </w:t>
      </w:r>
    </w:p>
    <w:p w14:paraId="62765D88" w14:textId="77777777" w:rsidR="000102A2" w:rsidRDefault="000102A2" w:rsidP="001266C3">
      <w:pPr>
        <w:spacing w:line="276" w:lineRule="auto"/>
        <w:rPr>
          <w:color w:val="000000" w:themeColor="text1"/>
        </w:rPr>
      </w:pPr>
    </w:p>
    <w:p w14:paraId="71EF26C9" w14:textId="77777777" w:rsidR="00EB6EE8" w:rsidRDefault="000102A2" w:rsidP="000102A2">
      <w:pPr>
        <w:pStyle w:val="Kop3"/>
      </w:pPr>
      <w:bookmarkStart w:id="69" w:name="_Toc118736234"/>
      <w:bookmarkStart w:id="70" w:name="_Toc142472122"/>
      <w:r>
        <w:lastRenderedPageBreak/>
        <w:t>Significante veranderingen</w:t>
      </w:r>
      <w:r w:rsidR="00192B88">
        <w:t xml:space="preserve"> en herberekeningen</w:t>
      </w:r>
      <w:bookmarkEnd w:id="69"/>
      <w:bookmarkEnd w:id="70"/>
    </w:p>
    <w:p w14:paraId="7EAFDAF0" w14:textId="02D8A3FB" w:rsidR="00EB6EE8" w:rsidRDefault="00604F37" w:rsidP="00F325DF">
      <w:pPr>
        <w:rPr>
          <w:color w:val="ED7D31" w:themeColor="accent2"/>
        </w:rPr>
      </w:pPr>
      <w:r>
        <w:t xml:space="preserve">Er </w:t>
      </w:r>
      <w:r w:rsidRPr="001F5421">
        <w:t xml:space="preserve">zijn geen wijzigingen </w:t>
      </w:r>
      <w:r>
        <w:t xml:space="preserve">geweest </w:t>
      </w:r>
      <w:r w:rsidR="000B2DFE">
        <w:t xml:space="preserve">in </w:t>
      </w:r>
      <w:r w:rsidR="007D3391">
        <w:t xml:space="preserve">de keuze van het </w:t>
      </w:r>
      <w:r w:rsidR="005B03A8">
        <w:t>referentiejaar</w:t>
      </w:r>
      <w:r w:rsidR="00192B88">
        <w:t xml:space="preserve"> en de berekeningen van </w:t>
      </w:r>
      <w:r w:rsidR="00065516" w:rsidRPr="00065516">
        <w:t>CO</w:t>
      </w:r>
      <w:r w:rsidR="00065516" w:rsidRPr="00065516">
        <w:rPr>
          <w:vertAlign w:val="subscript"/>
        </w:rPr>
        <w:t>2</w:t>
      </w:r>
      <w:r w:rsidR="00065516">
        <w:t>-emissies van d</w:t>
      </w:r>
      <w:r w:rsidR="00F640F9">
        <w:t>a</w:t>
      </w:r>
      <w:r w:rsidR="00065516">
        <w:t>t jaar en daaropvolgende jaren.</w:t>
      </w:r>
      <w:r w:rsidR="001F5421">
        <w:t xml:space="preserve"> Wel zijn nieuwe doelstellingen en </w:t>
      </w:r>
      <w:r w:rsidR="007330DB">
        <w:t xml:space="preserve">een nieuw </w:t>
      </w:r>
      <w:r w:rsidR="001F5421">
        <w:t xml:space="preserve">doelstellingsjaar bepaald. </w:t>
      </w:r>
    </w:p>
    <w:p w14:paraId="3B6F1503" w14:textId="77777777" w:rsidR="00C62B0F" w:rsidRDefault="00C62B0F" w:rsidP="00604F37">
      <w:pPr>
        <w:rPr>
          <w:color w:val="ED7D31" w:themeColor="accent2"/>
        </w:rPr>
      </w:pPr>
    </w:p>
    <w:p w14:paraId="2F85D641" w14:textId="77777777" w:rsidR="00C62B0F" w:rsidRPr="007B563D" w:rsidRDefault="00C62B0F" w:rsidP="00C62B0F">
      <w:pPr>
        <w:pStyle w:val="Kop2"/>
      </w:pPr>
      <w:bookmarkStart w:id="71" w:name="_Toc327187660"/>
      <w:bookmarkStart w:id="72" w:name="_Toc520715843"/>
      <w:bookmarkStart w:id="73" w:name="_Toc18488489"/>
      <w:bookmarkStart w:id="74" w:name="_Toc90908419"/>
      <w:bookmarkStart w:id="75" w:name="_Toc118736235"/>
      <w:bookmarkStart w:id="76" w:name="_Toc142472123"/>
      <w:r w:rsidRPr="007B563D">
        <w:t>Kwantificeringsmethoden</w:t>
      </w:r>
      <w:bookmarkEnd w:id="71"/>
      <w:bookmarkEnd w:id="72"/>
      <w:bookmarkEnd w:id="73"/>
      <w:bookmarkEnd w:id="74"/>
      <w:bookmarkEnd w:id="75"/>
      <w:bookmarkEnd w:id="76"/>
    </w:p>
    <w:p w14:paraId="3C793E00" w14:textId="77777777" w:rsidR="005242EB" w:rsidRDefault="00C62B0F" w:rsidP="00F325DF">
      <w:r w:rsidRPr="00D557B4">
        <w:t>Voor het kwantificeren van de CO</w:t>
      </w:r>
      <w:r w:rsidRPr="00D557B4">
        <w:rPr>
          <w:vertAlign w:val="subscript"/>
        </w:rPr>
        <w:t>2</w:t>
      </w:r>
      <w:r w:rsidRPr="00D557B4">
        <w:t>-uitstoot is gebruik gemaakt van een Excelmodel waarbij alle energieverbruiken worden omgerekend naar CO</w:t>
      </w:r>
      <w:r w:rsidRPr="00D557B4">
        <w:rPr>
          <w:vertAlign w:val="subscript"/>
        </w:rPr>
        <w:t>2</w:t>
      </w:r>
      <w:r w:rsidRPr="00D557B4">
        <w:t xml:space="preserve">-emissies. </w:t>
      </w:r>
      <w:r w:rsidR="0001005D">
        <w:t xml:space="preserve">De bronnen van de energieverbruiken worden vermeld in het Excel document van de </w:t>
      </w:r>
      <w:r w:rsidR="0001005D" w:rsidRPr="0001005D">
        <w:t>CO</w:t>
      </w:r>
      <w:r w:rsidR="0001005D" w:rsidRPr="0001005D">
        <w:rPr>
          <w:vertAlign w:val="subscript"/>
        </w:rPr>
        <w:t>2</w:t>
      </w:r>
      <w:r w:rsidR="0001005D">
        <w:t xml:space="preserve">-emissie-inventaris van de organisatie. </w:t>
      </w:r>
      <w:r w:rsidR="00627561">
        <w:t>D</w:t>
      </w:r>
      <w:r w:rsidRPr="00D557B4">
        <w:t xml:space="preserve">e emissiefactoren van de website </w:t>
      </w:r>
      <w:hyperlink r:id="rId23" w:history="1">
        <w:r w:rsidRPr="00D557B4">
          <w:rPr>
            <w:rStyle w:val="Hyperlink"/>
            <w:color w:val="000000" w:themeColor="text1"/>
          </w:rPr>
          <w:t>www.co2emissiefactoren.nl</w:t>
        </w:r>
      </w:hyperlink>
      <w:r w:rsidRPr="00D557B4">
        <w:t xml:space="preserve"> </w:t>
      </w:r>
      <w:r w:rsidR="00627561">
        <w:t xml:space="preserve">worden </w:t>
      </w:r>
      <w:r w:rsidRPr="00D557B4">
        <w:t>gehanteerd</w:t>
      </w:r>
      <w:r w:rsidR="00D1481F" w:rsidRPr="00D557B4">
        <w:t>, zoals omschreven in handboek 3.1 van de CO</w:t>
      </w:r>
      <w:r w:rsidR="00D1481F" w:rsidRPr="00D557B4">
        <w:rPr>
          <w:vertAlign w:val="subscript"/>
        </w:rPr>
        <w:t>2</w:t>
      </w:r>
      <w:r w:rsidR="00D1481F" w:rsidRPr="00D557B4">
        <w:t>-Prestatieladder</w:t>
      </w:r>
      <w:r w:rsidR="003B3338" w:rsidRPr="00D557B4">
        <w:t xml:space="preserve"> en volgens de toepassing zoals omschreven op </w:t>
      </w:r>
      <w:hyperlink r:id="rId24" w:history="1">
        <w:r w:rsidR="003B3338" w:rsidRPr="00D557B4">
          <w:rPr>
            <w:rStyle w:val="Hyperlink"/>
            <w:color w:val="000000" w:themeColor="text1"/>
          </w:rPr>
          <w:t>www.co2emissiefactoren.nl</w:t>
        </w:r>
      </w:hyperlink>
      <w:r w:rsidRPr="00D557B4">
        <w:t xml:space="preserve">. </w:t>
      </w:r>
      <w:r w:rsidR="00B51605" w:rsidRPr="00D557B4">
        <w:t>Omdat het gaat om specifieke emissiefactoren op nationaal niveau, zijn de gehanteerde emissiefactoren zeer geschikt voor het omrekenen van de data van de broeikasgas activiteiten naar de daarmee gepaard gaande CO</w:t>
      </w:r>
      <w:r w:rsidR="00B51605" w:rsidRPr="00D557B4">
        <w:rPr>
          <w:vertAlign w:val="subscript"/>
        </w:rPr>
        <w:t>2</w:t>
      </w:r>
      <w:r w:rsidR="00B51605" w:rsidRPr="00D557B4">
        <w:t xml:space="preserve">-emissies. </w:t>
      </w:r>
      <w:r w:rsidR="005242EB" w:rsidRPr="00D557B4">
        <w:t xml:space="preserve">De emissiefactoren van de organisatie zullen </w:t>
      </w:r>
      <w:r w:rsidR="00627561" w:rsidRPr="00D557B4">
        <w:t>te allen tijde</w:t>
      </w:r>
      <w:r w:rsidR="005242EB" w:rsidRPr="00D557B4">
        <w:t xml:space="preserve"> meegaan met wijzigingen in de emissiefactoren van</w:t>
      </w:r>
      <w:r w:rsidR="00850234" w:rsidRPr="00D557B4">
        <w:t xml:space="preserve"> handboek </w:t>
      </w:r>
      <w:r w:rsidR="005242EB" w:rsidRPr="00D557B4">
        <w:t>3.1</w:t>
      </w:r>
      <w:r w:rsidR="00850234" w:rsidRPr="00D557B4">
        <w:t xml:space="preserve"> en daaropvolgende handboeken van de CO</w:t>
      </w:r>
      <w:r w:rsidR="00850234" w:rsidRPr="00D557B4">
        <w:rPr>
          <w:vertAlign w:val="subscript"/>
        </w:rPr>
        <w:t>2</w:t>
      </w:r>
      <w:r w:rsidR="00850234" w:rsidRPr="00D557B4">
        <w:t>-Prestatieladder</w:t>
      </w:r>
      <w:r w:rsidR="005242EB" w:rsidRPr="00D557B4">
        <w:t xml:space="preserve">. </w:t>
      </w:r>
    </w:p>
    <w:p w14:paraId="124C5D4B" w14:textId="77777777" w:rsidR="00F325DF" w:rsidRPr="00D557B4" w:rsidRDefault="00F325DF" w:rsidP="00F325DF"/>
    <w:p w14:paraId="16A3D12D" w14:textId="77777777" w:rsidR="005242EB" w:rsidRDefault="00D557B4" w:rsidP="00F325DF">
      <w:r w:rsidRPr="00D557B4">
        <w:t>Er zijn geen verwijderingsfactoren van toepassing.</w:t>
      </w:r>
    </w:p>
    <w:p w14:paraId="259C7767" w14:textId="77777777" w:rsidR="00F325DF" w:rsidRPr="0001005D" w:rsidRDefault="00F325DF" w:rsidP="00F325DF"/>
    <w:p w14:paraId="7E9D6BE7" w14:textId="77777777" w:rsidR="00CC1B6A" w:rsidRDefault="00CC1B6A" w:rsidP="00CC1B6A">
      <w:pPr>
        <w:pStyle w:val="Kop3"/>
      </w:pPr>
      <w:bookmarkStart w:id="77" w:name="_Toc118736236"/>
      <w:bookmarkStart w:id="78" w:name="_Toc142472124"/>
      <w:r>
        <w:t>Veranderingen van kwantificeringsmethoden</w:t>
      </w:r>
      <w:bookmarkEnd w:id="77"/>
      <w:bookmarkEnd w:id="78"/>
    </w:p>
    <w:p w14:paraId="784173AD" w14:textId="22AB5B8E" w:rsidR="00CC1B6A" w:rsidRDefault="00266462" w:rsidP="00CC1B6A">
      <w:r>
        <w:t xml:space="preserve">Er zijn voor 2024-half een aantal wijzigingen geweest in het berekenen van de hoeveelheden </w:t>
      </w:r>
      <w:r w:rsidR="009B7EBE">
        <w:t>gas en elektriciteit voor de locatie Assblasserdam. De formule voor het gasverbruik is voor 2023 en 2024 aangepast, waarbij enkel 50% van het gasverbruik wordt toegewezen aan City</w:t>
      </w:r>
      <w:r w:rsidR="00EC60B5">
        <w:t>T</w:t>
      </w:r>
      <w:r w:rsidR="009B7EBE">
        <w:t>ec. Het elektriciteitsverbruik is ook aangepast, waarbij</w:t>
      </w:r>
      <w:r w:rsidR="00453D66">
        <w:t xml:space="preserve"> nu niet 100% van de gemeenschappelijke ruimtes zijn toegewezen aan</w:t>
      </w:r>
      <w:r w:rsidR="00AD73B3">
        <w:t xml:space="preserve"> </w:t>
      </w:r>
      <w:r w:rsidR="00EC60B5">
        <w:t>C</w:t>
      </w:r>
      <w:r w:rsidR="00AD73B3">
        <w:t>ity</w:t>
      </w:r>
      <w:r w:rsidR="00EC60B5">
        <w:t>T</w:t>
      </w:r>
      <w:r w:rsidR="00AD73B3">
        <w:t>ec</w:t>
      </w:r>
      <w:r w:rsidR="00436B07">
        <w:t>, maar enkel voor 30%.</w:t>
      </w:r>
    </w:p>
    <w:p w14:paraId="675FF3FF" w14:textId="522CAC0E" w:rsidR="009662FF" w:rsidRPr="00585AC0" w:rsidRDefault="009662FF" w:rsidP="00CC1B6A">
      <w:pPr>
        <w:rPr>
          <w:color w:val="ED7D31" w:themeColor="accent2"/>
        </w:rPr>
      </w:pPr>
      <w:r>
        <w:br/>
        <w:t xml:space="preserve">Voor scope 3 is de berekening van “verbruik van verkochte producten” aangepast. Waarbij dit voorheen werd gedaan door te kijken naar het energieverbruik van openbare verlichting van diverse locaties, wordt sinds 2024 de berekening bepaald aan de hand van de verkochte producten in 2024 vermenigvuldigd met de branduren en wattage.  </w:t>
      </w:r>
    </w:p>
    <w:p w14:paraId="01FFB04F" w14:textId="77777777" w:rsidR="00553490" w:rsidRDefault="00553490" w:rsidP="00157253"/>
    <w:p w14:paraId="491B6EEF" w14:textId="77777777" w:rsidR="00037A57" w:rsidRPr="00553490" w:rsidRDefault="00553490" w:rsidP="00553490">
      <w:pPr>
        <w:pStyle w:val="Kop2"/>
      </w:pPr>
      <w:bookmarkStart w:id="79" w:name="_CO2-emissie_berekeningen"/>
      <w:bookmarkStart w:id="80" w:name="_Toc118736237"/>
      <w:bookmarkStart w:id="81" w:name="_Toc142472125"/>
      <w:bookmarkEnd w:id="79"/>
      <w:r w:rsidRPr="006C3145">
        <w:lastRenderedPageBreak/>
        <w:t>CO</w:t>
      </w:r>
      <w:r w:rsidRPr="006C3145">
        <w:rPr>
          <w:vertAlign w:val="subscript"/>
        </w:rPr>
        <w:t>2</w:t>
      </w:r>
      <w:r>
        <w:t>-emissie berekeningen</w:t>
      </w:r>
      <w:bookmarkEnd w:id="80"/>
      <w:bookmarkEnd w:id="81"/>
    </w:p>
    <w:p w14:paraId="3C7BB56C" w14:textId="77777777" w:rsidR="00037A57" w:rsidRDefault="00894D16" w:rsidP="00553490">
      <w:pPr>
        <w:pStyle w:val="Kop3"/>
      </w:pPr>
      <w:bookmarkStart w:id="82" w:name="_Toc118736238"/>
      <w:bookmarkStart w:id="83" w:name="_Toc142472126"/>
      <w:r w:rsidRPr="006C3145">
        <w:t>CO</w:t>
      </w:r>
      <w:r w:rsidRPr="006C3145">
        <w:rPr>
          <w:vertAlign w:val="subscript"/>
        </w:rPr>
        <w:t>2</w:t>
      </w:r>
      <w:r w:rsidR="00733E37">
        <w:t>-emissies</w:t>
      </w:r>
      <w:bookmarkEnd w:id="82"/>
      <w:bookmarkEnd w:id="83"/>
      <w:r w:rsidR="00A6491B">
        <w:t xml:space="preserve"> </w:t>
      </w:r>
    </w:p>
    <w:p w14:paraId="1EFC405D" w14:textId="57DD1191" w:rsidR="00E341C7" w:rsidRDefault="00C07AEB" w:rsidP="003E43E1">
      <w:r w:rsidRPr="00C07AEB">
        <w:rPr>
          <w:noProof/>
        </w:rPr>
        <w:drawing>
          <wp:inline distT="0" distB="0" distL="0" distR="0" wp14:anchorId="23428EA8" wp14:editId="150516B6">
            <wp:extent cx="5760720" cy="4127500"/>
            <wp:effectExtent l="0" t="0" r="0" b="6350"/>
            <wp:docPr id="146457947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4127500"/>
                    </a:xfrm>
                    <a:prstGeom prst="rect">
                      <a:avLst/>
                    </a:prstGeom>
                    <a:noFill/>
                    <a:ln>
                      <a:noFill/>
                    </a:ln>
                  </pic:spPr>
                </pic:pic>
              </a:graphicData>
            </a:graphic>
          </wp:inline>
        </w:drawing>
      </w:r>
    </w:p>
    <w:p w14:paraId="1679DE13" w14:textId="7F450620" w:rsidR="005A4471" w:rsidRDefault="005A4471" w:rsidP="00733E37">
      <w:pPr>
        <w:rPr>
          <w:b/>
          <w:bCs/>
          <w:color w:val="FF0000"/>
          <w:lang w:val="en-US"/>
        </w:rPr>
      </w:pPr>
    </w:p>
    <w:p w14:paraId="1AB7D642" w14:textId="77777777" w:rsidR="00324772" w:rsidRDefault="00324772" w:rsidP="00733E37">
      <w:pPr>
        <w:rPr>
          <w:b/>
          <w:bCs/>
          <w:color w:val="FF0000"/>
          <w:lang w:val="en-US"/>
        </w:rPr>
      </w:pPr>
    </w:p>
    <w:p w14:paraId="0A71E18C" w14:textId="77777777" w:rsidR="005A4471" w:rsidRDefault="005A4471" w:rsidP="005A4471"/>
    <w:p w14:paraId="4CF463C2" w14:textId="77777777" w:rsidR="00AD0DF8" w:rsidRPr="00C14FA6" w:rsidRDefault="00AD0DF8" w:rsidP="00AD0DF8">
      <w:r w:rsidRPr="00C14FA6">
        <w:t>In onderstaande tabel zijn de CO</w:t>
      </w:r>
      <w:r w:rsidRPr="00C14FA6">
        <w:rPr>
          <w:vertAlign w:val="subscript"/>
        </w:rPr>
        <w:t>2</w:t>
      </w:r>
      <w:r w:rsidRPr="00C14FA6">
        <w:t>-emissies weergegeven voor de verschillende emissiestromen in scope 3.</w:t>
      </w:r>
    </w:p>
    <w:p w14:paraId="153233DF" w14:textId="77777777" w:rsidR="008679B0" w:rsidRDefault="008679B0" w:rsidP="005A4471"/>
    <w:p w14:paraId="39B6F6D2" w14:textId="5279AC8C" w:rsidR="006725A5" w:rsidRDefault="00C14FA6" w:rsidP="00A6491B">
      <w:r w:rsidRPr="00C14FA6">
        <w:rPr>
          <w:noProof/>
        </w:rPr>
        <w:drawing>
          <wp:inline distT="0" distB="0" distL="0" distR="0" wp14:anchorId="79102622" wp14:editId="2CA92429">
            <wp:extent cx="5760720" cy="2938145"/>
            <wp:effectExtent l="0" t="0" r="0" b="0"/>
            <wp:docPr id="162928667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938145"/>
                    </a:xfrm>
                    <a:prstGeom prst="rect">
                      <a:avLst/>
                    </a:prstGeom>
                    <a:noFill/>
                    <a:ln>
                      <a:noFill/>
                    </a:ln>
                  </pic:spPr>
                </pic:pic>
              </a:graphicData>
            </a:graphic>
          </wp:inline>
        </w:drawing>
      </w:r>
    </w:p>
    <w:p w14:paraId="68775A1A" w14:textId="77777777" w:rsidR="00C14FA6" w:rsidRPr="00A2172B" w:rsidRDefault="00C14FA6" w:rsidP="00A6491B"/>
    <w:p w14:paraId="3B279FA5" w14:textId="77777777" w:rsidR="006725A5" w:rsidRDefault="006725A5" w:rsidP="006725A5">
      <w:pPr>
        <w:pStyle w:val="Kop3"/>
      </w:pPr>
      <w:bookmarkStart w:id="84" w:name="_Toc118736240"/>
      <w:bookmarkStart w:id="85" w:name="_Toc142472127"/>
      <w:r>
        <w:lastRenderedPageBreak/>
        <w:t>Uitsluiting van overige GHG-emissies</w:t>
      </w:r>
      <w:bookmarkEnd w:id="84"/>
      <w:bookmarkEnd w:id="85"/>
    </w:p>
    <w:p w14:paraId="7A24501C" w14:textId="7A79B19B" w:rsidR="006725A5" w:rsidRPr="00146B8E" w:rsidRDefault="006725A5" w:rsidP="00F325DF">
      <w:pPr>
        <w:rPr>
          <w:color w:val="ED7D31" w:themeColor="accent2"/>
        </w:rPr>
      </w:pPr>
      <w:r w:rsidRPr="00AD4F9C">
        <w:t xml:space="preserve">In </w:t>
      </w:r>
      <w:r>
        <w:t>h</w:t>
      </w:r>
      <w:r w:rsidRPr="00AD4F9C">
        <w:t>andboek 3.</w:t>
      </w:r>
      <w:r>
        <w:t>1</w:t>
      </w:r>
      <w:r w:rsidRPr="00AD4F9C">
        <w:t xml:space="preserve"> </w:t>
      </w:r>
      <w:r>
        <w:t xml:space="preserve">van de </w:t>
      </w:r>
      <w:r w:rsidRPr="006C3145">
        <w:t>CO</w:t>
      </w:r>
      <w:r w:rsidRPr="006C3145">
        <w:rPr>
          <w:vertAlign w:val="subscript"/>
        </w:rPr>
        <w:t>2</w:t>
      </w:r>
      <w:r>
        <w:t xml:space="preserve">-Prestatieladder </w:t>
      </w:r>
      <w:r w:rsidRPr="00AD4F9C">
        <w:t>is de rapportage van de CO</w:t>
      </w:r>
      <w:r w:rsidRPr="00AD4F9C">
        <w:rPr>
          <w:vertAlign w:val="subscript"/>
        </w:rPr>
        <w:t>2</w:t>
      </w:r>
      <w:r w:rsidRPr="00AD4F9C">
        <w:t>-emissie-inventaris over alle broeikasgassen, uitgedrukt in CO</w:t>
      </w:r>
      <w:r w:rsidRPr="00AD4F9C">
        <w:rPr>
          <w:vertAlign w:val="subscript"/>
        </w:rPr>
        <w:t>2</w:t>
      </w:r>
      <w:r w:rsidRPr="00AD4F9C">
        <w:t>-equivalenten nog niet verplicht. Het is dus niet vereist overige gassen, niet zijnde CO</w:t>
      </w:r>
      <w:r w:rsidRPr="00AD4F9C">
        <w:rPr>
          <w:vertAlign w:val="subscript"/>
        </w:rPr>
        <w:t>2</w:t>
      </w:r>
      <w:r w:rsidRPr="00AD4F9C">
        <w:t xml:space="preserve"> (CH</w:t>
      </w:r>
      <w:r w:rsidRPr="00AD4F9C">
        <w:rPr>
          <w:vertAlign w:val="subscript"/>
        </w:rPr>
        <w:t>4</w:t>
      </w:r>
      <w:r w:rsidRPr="00AD4F9C">
        <w:t>, N</w:t>
      </w:r>
      <w:r w:rsidRPr="00AD4F9C">
        <w:rPr>
          <w:vertAlign w:val="subscript"/>
        </w:rPr>
        <w:t>2</w:t>
      </w:r>
      <w:r w:rsidRPr="00AD4F9C">
        <w:t>O, HFC’s, PFC’s en SF</w:t>
      </w:r>
      <w:r w:rsidRPr="00AD4F9C">
        <w:rPr>
          <w:vertAlign w:val="subscript"/>
        </w:rPr>
        <w:t>6</w:t>
      </w:r>
      <w:r w:rsidRPr="00AD4F9C">
        <w:t xml:space="preserve">) die vrijkomen bij operaties van </w:t>
      </w:r>
      <w:r>
        <w:t>de organisatie,</w:t>
      </w:r>
      <w:r w:rsidRPr="00AD4F9C">
        <w:t xml:space="preserve"> mee te nemen</w:t>
      </w:r>
      <w:r w:rsidRPr="006A7D62">
        <w:rPr>
          <w:color w:val="000000" w:themeColor="text1"/>
        </w:rPr>
        <w:t xml:space="preserve"> in de emissie-inventaris. Dit geldt ook voor koudemiddelen (refrigerants) en smeermiddelen. </w:t>
      </w:r>
      <w:r>
        <w:rPr>
          <w:color w:val="000000" w:themeColor="text1"/>
        </w:rPr>
        <w:t>Daarom worden deze uitgesloten van deze emissie-inventaris rapportage.</w:t>
      </w:r>
    </w:p>
    <w:p w14:paraId="5E2233D6" w14:textId="77777777" w:rsidR="00D71436" w:rsidRDefault="00D71436" w:rsidP="00A6491B"/>
    <w:p w14:paraId="612B87B6" w14:textId="77777777" w:rsidR="00930EA7" w:rsidRDefault="00930EA7" w:rsidP="00930EA7">
      <w:pPr>
        <w:pStyle w:val="Kop2"/>
      </w:pPr>
      <w:bookmarkStart w:id="86" w:name="_Toc118736241"/>
      <w:bookmarkStart w:id="87" w:name="_Toc142472128"/>
      <w:r>
        <w:t>Verbranding van biomassa en GHG-verwijderingen</w:t>
      </w:r>
      <w:bookmarkEnd w:id="86"/>
      <w:bookmarkEnd w:id="87"/>
    </w:p>
    <w:p w14:paraId="5E022B54" w14:textId="53028D7B" w:rsidR="00C853D9" w:rsidRPr="003323D2" w:rsidRDefault="00735050" w:rsidP="00F325DF">
      <w:pPr>
        <w:rPr>
          <w:color w:val="ED7D31" w:themeColor="accent2"/>
        </w:rPr>
      </w:pPr>
      <w:r>
        <w:t>Er</w:t>
      </w:r>
      <w:r w:rsidR="00C853D9" w:rsidRPr="007B563D">
        <w:t xml:space="preserve"> </w:t>
      </w:r>
      <w:r w:rsidR="00C853D9" w:rsidRPr="005F1518">
        <w:t>vond</w:t>
      </w:r>
      <w:r w:rsidRPr="005F1518">
        <w:t>en</w:t>
      </w:r>
      <w:r w:rsidR="00C853D9" w:rsidRPr="005F1518">
        <w:t xml:space="preserve"> geen verbranding </w:t>
      </w:r>
      <w:r w:rsidR="00C853D9" w:rsidRPr="007B563D">
        <w:t xml:space="preserve">van biomassa </w:t>
      </w:r>
      <w:r w:rsidRPr="005F1518">
        <w:t xml:space="preserve">en geen </w:t>
      </w:r>
      <w:r>
        <w:t>GHG-verwijdering</w:t>
      </w:r>
      <w:r w:rsidR="00796D3D">
        <w:t xml:space="preserve">en </w:t>
      </w:r>
      <w:r w:rsidR="00C853D9" w:rsidRPr="007B563D">
        <w:t>plaats</w:t>
      </w:r>
      <w:r w:rsidR="00C853D9">
        <w:t xml:space="preserve">. </w:t>
      </w:r>
      <w:r w:rsidR="00796D3D">
        <w:t xml:space="preserve">Ook heeft er </w:t>
      </w:r>
      <w:r w:rsidR="00796D3D" w:rsidRPr="005F1518">
        <w:t xml:space="preserve">geen compensatie </w:t>
      </w:r>
      <w:r w:rsidR="00796D3D">
        <w:rPr>
          <w:color w:val="000000" w:themeColor="text1"/>
        </w:rPr>
        <w:t>plaatsgevonden.</w:t>
      </w:r>
    </w:p>
    <w:p w14:paraId="14452A08" w14:textId="77777777" w:rsidR="00D27474" w:rsidRDefault="00D27474" w:rsidP="00C853D9">
      <w:pPr>
        <w:spacing w:line="276" w:lineRule="auto"/>
        <w:rPr>
          <w:color w:val="000000" w:themeColor="text1"/>
          <w:szCs w:val="22"/>
        </w:rPr>
      </w:pPr>
    </w:p>
    <w:p w14:paraId="3C6A39B1" w14:textId="77777777" w:rsidR="00D27474" w:rsidRDefault="00D27474" w:rsidP="00D27474">
      <w:pPr>
        <w:pStyle w:val="Kop2"/>
      </w:pPr>
      <w:bookmarkStart w:id="88" w:name="_Toc118736242"/>
      <w:bookmarkStart w:id="89" w:name="_Toc142472129"/>
      <w:r>
        <w:t>Onzekerheden</w:t>
      </w:r>
      <w:r w:rsidR="00906FCB">
        <w:t xml:space="preserve"> en impact</w:t>
      </w:r>
      <w:bookmarkEnd w:id="88"/>
      <w:bookmarkEnd w:id="89"/>
    </w:p>
    <w:p w14:paraId="52340B66" w14:textId="77777777" w:rsidR="00437B1A" w:rsidRPr="00437B1A" w:rsidRDefault="00AF6340" w:rsidP="00437B1A">
      <w:pPr>
        <w:rPr>
          <w:color w:val="ED7D31" w:themeColor="accent2"/>
        </w:rPr>
      </w:pPr>
      <w:r>
        <w:t xml:space="preserve">De onzekerheden en de impact daarvan worden omschreven in het Excel document “Acties, planning en verantwoordelijkheden” op het tabblad </w:t>
      </w:r>
      <w:r w:rsidR="00C34BBE">
        <w:t>“dataverzameling”.</w:t>
      </w:r>
    </w:p>
    <w:p w14:paraId="31A62890" w14:textId="77777777" w:rsidR="00D27474" w:rsidRPr="00D27474" w:rsidRDefault="00D27474" w:rsidP="00D27474"/>
    <w:p w14:paraId="4E6EF45A" w14:textId="77777777" w:rsidR="00903FE7" w:rsidRPr="007B563D" w:rsidRDefault="00903FE7" w:rsidP="00903FE7">
      <w:pPr>
        <w:pStyle w:val="Kop2"/>
      </w:pPr>
      <w:bookmarkStart w:id="90" w:name="_Toc327187663"/>
      <w:bookmarkStart w:id="91" w:name="_Toc520715847"/>
      <w:bookmarkStart w:id="92" w:name="_Toc18488493"/>
      <w:bookmarkStart w:id="93" w:name="_Toc90908423"/>
      <w:bookmarkStart w:id="94" w:name="_Toc118736243"/>
      <w:bookmarkStart w:id="95" w:name="_Toc142472130"/>
      <w:r w:rsidRPr="007B563D">
        <w:t>Verificatie</w:t>
      </w:r>
      <w:bookmarkEnd w:id="90"/>
      <w:bookmarkEnd w:id="91"/>
      <w:bookmarkEnd w:id="92"/>
      <w:bookmarkEnd w:id="93"/>
      <w:bookmarkEnd w:id="94"/>
      <w:bookmarkEnd w:id="95"/>
    </w:p>
    <w:p w14:paraId="11A10AF2" w14:textId="77777777" w:rsidR="00903FE7" w:rsidRDefault="00903FE7" w:rsidP="00F325DF">
      <w:r w:rsidRPr="005F70BB">
        <w:t xml:space="preserve">De organisatie heeft ervoor gekozen om de emissie-inventaris niet apart te laten verifiëren door een extern bureau. De </w:t>
      </w:r>
      <w:r w:rsidR="00F3265D" w:rsidRPr="006C3145">
        <w:t>CO</w:t>
      </w:r>
      <w:r w:rsidR="00F3265D" w:rsidRPr="006C3145">
        <w:rPr>
          <w:vertAlign w:val="subscript"/>
        </w:rPr>
        <w:t>2</w:t>
      </w:r>
      <w:r w:rsidR="00F3265D">
        <w:t>-</w:t>
      </w:r>
      <w:r w:rsidRPr="005F70BB">
        <w:t xml:space="preserve">emissie-inventaris zal tijdens de externe audit middels een steekproef geverifieerd worden. </w:t>
      </w:r>
    </w:p>
    <w:p w14:paraId="6A2DAF1E" w14:textId="77777777" w:rsidR="00EB6EE8" w:rsidRDefault="00EB6EE8" w:rsidP="00C853D9">
      <w:pPr>
        <w:spacing w:line="276" w:lineRule="auto"/>
        <w:rPr>
          <w:color w:val="000000" w:themeColor="text1"/>
          <w:szCs w:val="22"/>
        </w:rPr>
      </w:pPr>
    </w:p>
    <w:p w14:paraId="75A3FD7E" w14:textId="77777777" w:rsidR="00C34BBE" w:rsidRPr="00796D3D" w:rsidRDefault="00C34BBE" w:rsidP="00C34BBE">
      <w:pPr>
        <w:jc w:val="left"/>
        <w:rPr>
          <w:color w:val="000000" w:themeColor="text1"/>
          <w:szCs w:val="22"/>
        </w:rPr>
      </w:pPr>
      <w:r>
        <w:rPr>
          <w:color w:val="000000" w:themeColor="text1"/>
          <w:szCs w:val="22"/>
        </w:rPr>
        <w:br w:type="page"/>
      </w:r>
    </w:p>
    <w:p w14:paraId="2F40C4AF" w14:textId="77777777" w:rsidR="00D71436" w:rsidRDefault="00940DCF" w:rsidP="003749B4">
      <w:pPr>
        <w:pStyle w:val="Kop1"/>
        <w:jc w:val="left"/>
      </w:pPr>
      <w:bookmarkStart w:id="96" w:name="_Toc142472131"/>
      <w:r>
        <w:lastRenderedPageBreak/>
        <w:t>Voortgang en ambitiebepaling</w:t>
      </w:r>
      <w:bookmarkEnd w:id="96"/>
    </w:p>
    <w:p w14:paraId="62C6356E" w14:textId="77777777" w:rsidR="00940DCF" w:rsidRDefault="00940DCF" w:rsidP="00940DCF"/>
    <w:p w14:paraId="68FC9E37" w14:textId="77777777" w:rsidR="00940DCF" w:rsidRDefault="00940DCF" w:rsidP="00940DCF">
      <w:pPr>
        <w:pStyle w:val="Kop2"/>
      </w:pPr>
      <w:bookmarkStart w:id="97" w:name="_Toc90908439"/>
      <w:bookmarkStart w:id="98" w:name="_Toc118736248"/>
      <w:bookmarkStart w:id="99" w:name="_Toc142472132"/>
      <w:r>
        <w:t>Ambitie</w:t>
      </w:r>
      <w:bookmarkEnd w:id="97"/>
      <w:bookmarkEnd w:id="98"/>
      <w:bookmarkEnd w:id="99"/>
    </w:p>
    <w:p w14:paraId="3E4E9B57" w14:textId="77777777" w:rsidR="00940DCF" w:rsidRDefault="00940DCF" w:rsidP="00940DCF">
      <w:r w:rsidRPr="00AE5208">
        <w:t>Vanuit de CO</w:t>
      </w:r>
      <w:r w:rsidRPr="00AE5208">
        <w:rPr>
          <w:vertAlign w:val="subscript"/>
        </w:rPr>
        <w:t>2</w:t>
      </w:r>
      <w:r w:rsidRPr="00AE5208">
        <w:t xml:space="preserve">-Prestatieladder wordt gevraagd om reductiedoelstellingen op te stellen die zowel ambitieus als realistisch zijn. </w:t>
      </w:r>
      <w:r w:rsidRPr="00EF435F">
        <w:t>Om te kunnen bepalen hoe ambitieus de doelstellingen en maatregele</w:t>
      </w:r>
      <w:r>
        <w:t>n zijn van de organisatie</w:t>
      </w:r>
      <w:r w:rsidRPr="00EF435F">
        <w:t xml:space="preserve"> is gekeken naar </w:t>
      </w:r>
      <w:r>
        <w:t xml:space="preserve">sectorgenoten en is de </w:t>
      </w:r>
      <w:r w:rsidR="00D33DC7">
        <w:t>m</w:t>
      </w:r>
      <w:r>
        <w:t xml:space="preserve">aatregellijst van SKAO ingevuld. </w:t>
      </w:r>
    </w:p>
    <w:p w14:paraId="68AA4001" w14:textId="77777777" w:rsidR="00940DCF" w:rsidRPr="00E7261D" w:rsidRDefault="00940DCF" w:rsidP="00940DCF"/>
    <w:p w14:paraId="666659AD" w14:textId="77777777" w:rsidR="00940DCF" w:rsidRPr="00057E68" w:rsidRDefault="00940DCF" w:rsidP="00940DCF">
      <w:pPr>
        <w:pStyle w:val="Kop3"/>
      </w:pPr>
      <w:bookmarkStart w:id="100" w:name="_Toc90908440"/>
      <w:bookmarkStart w:id="101" w:name="_Toc118736249"/>
      <w:bookmarkStart w:id="102" w:name="_Toc142472133"/>
      <w:r w:rsidRPr="00057E68">
        <w:t>Vergelijking met sectorgenoten</w:t>
      </w:r>
      <w:bookmarkEnd w:id="100"/>
      <w:bookmarkEnd w:id="101"/>
      <w:bookmarkEnd w:id="102"/>
    </w:p>
    <w:p w14:paraId="7F8B3097" w14:textId="77777777" w:rsidR="00940DCF" w:rsidRDefault="00940DCF" w:rsidP="00940DCF"/>
    <w:p w14:paraId="19D3FC88" w14:textId="50FE8F41" w:rsidR="00940DCF" w:rsidRPr="008E7BC0" w:rsidRDefault="00940DCF" w:rsidP="00940DCF">
      <w:pPr>
        <w:pStyle w:val="Lijstalinea"/>
        <w:numPr>
          <w:ilvl w:val="0"/>
          <w:numId w:val="13"/>
        </w:numPr>
        <w:jc w:val="left"/>
        <w:rPr>
          <w:color w:val="ED7D31" w:themeColor="accent2"/>
        </w:rPr>
      </w:pPr>
      <w:r w:rsidRPr="008E7BC0">
        <w:rPr>
          <w:b/>
          <w:color w:val="000000" w:themeColor="text1"/>
        </w:rPr>
        <w:t xml:space="preserve">Sectorgenoot 1 | </w:t>
      </w:r>
      <w:r w:rsidR="002D471D">
        <w:rPr>
          <w:rFonts w:eastAsia="Microsoft YaHei Light" w:cs="Arial"/>
          <w:b/>
          <w:szCs w:val="19"/>
        </w:rPr>
        <w:t>Van Dorp Infra</w:t>
      </w:r>
      <w:r w:rsidR="00F32B4F" w:rsidRPr="0057033B">
        <w:rPr>
          <w:rFonts w:eastAsia="Microsoft YaHei Light" w:cs="Arial"/>
          <w:b/>
          <w:szCs w:val="19"/>
        </w:rPr>
        <w:t xml:space="preserve"> (niveau 5 klein bedrijf)</w:t>
      </w:r>
      <w:r w:rsidRPr="008E7BC0">
        <w:rPr>
          <w:b/>
          <w:color w:val="ED7D31" w:themeColor="accent2"/>
        </w:rPr>
        <w:t xml:space="preserve"> </w:t>
      </w:r>
      <w:r w:rsidRPr="008E7BC0">
        <w:rPr>
          <w:b/>
          <w:color w:val="ED7D31" w:themeColor="accent2"/>
        </w:rPr>
        <w:br/>
      </w:r>
      <w:r w:rsidRPr="008E7BC0">
        <w:rPr>
          <w:color w:val="000000" w:themeColor="text1"/>
        </w:rPr>
        <w:t>CO</w:t>
      </w:r>
      <w:r w:rsidRPr="008E7BC0">
        <w:rPr>
          <w:color w:val="000000" w:themeColor="text1"/>
          <w:vertAlign w:val="subscript"/>
        </w:rPr>
        <w:t>2</w:t>
      </w:r>
      <w:r w:rsidRPr="008E7BC0">
        <w:rPr>
          <w:color w:val="000000" w:themeColor="text1"/>
        </w:rPr>
        <w:t>-</w:t>
      </w:r>
      <w:r>
        <w:rPr>
          <w:color w:val="000000" w:themeColor="text1"/>
        </w:rPr>
        <w:t>footprint</w:t>
      </w:r>
      <w:r w:rsidRPr="008E7BC0">
        <w:rPr>
          <w:color w:val="000000" w:themeColor="text1"/>
        </w:rPr>
        <w:t xml:space="preserve"> in referentiejaar</w:t>
      </w:r>
      <w:r w:rsidRPr="001F79F0">
        <w:t xml:space="preserve">: </w:t>
      </w:r>
      <w:r w:rsidR="001F79F0" w:rsidRPr="001F79F0">
        <w:t>1.</w:t>
      </w:r>
      <w:r w:rsidR="009E2767">
        <w:t>412</w:t>
      </w:r>
      <w:r w:rsidR="001F79F0" w:rsidRPr="001F79F0">
        <w:t>,</w:t>
      </w:r>
      <w:r w:rsidR="009E2767">
        <w:t>5</w:t>
      </w:r>
      <w:r w:rsidR="001F79F0" w:rsidRPr="001F79F0">
        <w:t xml:space="preserve"> </w:t>
      </w:r>
      <w:r w:rsidRPr="008E7BC0">
        <w:rPr>
          <w:color w:val="000000" w:themeColor="text1"/>
        </w:rPr>
        <w:t>ton CO</w:t>
      </w:r>
      <w:r w:rsidRPr="00C81F95">
        <w:rPr>
          <w:vertAlign w:val="subscript"/>
        </w:rPr>
        <w:t>2</w:t>
      </w:r>
    </w:p>
    <w:p w14:paraId="748BA1A1" w14:textId="0FF4129B" w:rsidR="00940DCF" w:rsidRPr="008E7BC0" w:rsidRDefault="00940DCF" w:rsidP="00940DCF">
      <w:pPr>
        <w:pStyle w:val="Lijstalinea"/>
        <w:ind w:left="1068"/>
        <w:jc w:val="left"/>
        <w:rPr>
          <w:color w:val="ED7D31" w:themeColor="accent2"/>
        </w:rPr>
      </w:pPr>
      <w:r w:rsidRPr="008E7BC0">
        <w:rPr>
          <w:color w:val="000000" w:themeColor="text1"/>
        </w:rPr>
        <w:t xml:space="preserve">Doelstelling scope 1, 2 en business </w:t>
      </w:r>
      <w:r w:rsidRPr="00CF3165">
        <w:t xml:space="preserve">travel: </w:t>
      </w:r>
      <w:r w:rsidR="00F57E56">
        <w:t>10</w:t>
      </w:r>
      <w:r w:rsidRPr="00CF3165">
        <w:t>% in 20</w:t>
      </w:r>
      <w:r w:rsidR="00CF3165" w:rsidRPr="00CF3165">
        <w:t>25</w:t>
      </w:r>
      <w:r w:rsidRPr="00CF3165">
        <w:t xml:space="preserve"> ten opzichte van 20</w:t>
      </w:r>
      <w:r w:rsidR="00CF3165" w:rsidRPr="00CF3165">
        <w:t>17</w:t>
      </w:r>
      <w:r w:rsidRPr="008E7BC0">
        <w:rPr>
          <w:color w:val="ED7D31" w:themeColor="accent2"/>
        </w:rPr>
        <w:br/>
      </w:r>
      <w:r w:rsidRPr="008E7BC0">
        <w:rPr>
          <w:color w:val="000000" w:themeColor="text1"/>
        </w:rPr>
        <w:t>Meest significante maatregelen in het plan van aanpak:</w:t>
      </w:r>
    </w:p>
    <w:p w14:paraId="36F539CF" w14:textId="77777777" w:rsidR="00D90718" w:rsidRPr="0057033B" w:rsidRDefault="00D90718" w:rsidP="00D90718">
      <w:pPr>
        <w:numPr>
          <w:ilvl w:val="1"/>
          <w:numId w:val="13"/>
        </w:numPr>
        <w:spacing w:line="276" w:lineRule="auto"/>
        <w:jc w:val="left"/>
        <w:rPr>
          <w:rFonts w:eastAsia="Microsoft YaHei Light" w:cs="Arial"/>
          <w:szCs w:val="19"/>
        </w:rPr>
      </w:pPr>
      <w:r w:rsidRPr="0057033B">
        <w:rPr>
          <w:rFonts w:eastAsia="Microsoft YaHei Light" w:cs="Arial"/>
          <w:szCs w:val="19"/>
        </w:rPr>
        <w:t>Plaatsen zonnecollectoren op kantoor en werkplaats</w:t>
      </w:r>
    </w:p>
    <w:p w14:paraId="78B79E4D" w14:textId="77777777" w:rsidR="00D90718" w:rsidRPr="0057033B" w:rsidRDefault="00D90718" w:rsidP="00D90718">
      <w:pPr>
        <w:numPr>
          <w:ilvl w:val="1"/>
          <w:numId w:val="13"/>
        </w:numPr>
        <w:spacing w:line="276" w:lineRule="auto"/>
        <w:jc w:val="left"/>
        <w:rPr>
          <w:rFonts w:eastAsia="Microsoft YaHei Light" w:cs="Arial"/>
          <w:szCs w:val="19"/>
        </w:rPr>
      </w:pPr>
      <w:r w:rsidRPr="0057033B">
        <w:rPr>
          <w:rFonts w:eastAsia="Microsoft YaHei Light" w:cs="Arial"/>
          <w:szCs w:val="19"/>
        </w:rPr>
        <w:t>Isolatie verbeteren kantoor en werkplaats</w:t>
      </w:r>
    </w:p>
    <w:p w14:paraId="3740E396" w14:textId="77777777" w:rsidR="00D90718" w:rsidRPr="0057033B" w:rsidRDefault="00D90718" w:rsidP="00D90718">
      <w:pPr>
        <w:numPr>
          <w:ilvl w:val="1"/>
          <w:numId w:val="13"/>
        </w:numPr>
        <w:spacing w:line="276" w:lineRule="auto"/>
        <w:jc w:val="left"/>
        <w:rPr>
          <w:rFonts w:eastAsia="Microsoft YaHei Light" w:cs="Arial"/>
          <w:szCs w:val="19"/>
        </w:rPr>
      </w:pPr>
      <w:r w:rsidRPr="0057033B">
        <w:rPr>
          <w:rFonts w:eastAsia="Microsoft YaHei Light" w:cs="Arial"/>
          <w:szCs w:val="19"/>
        </w:rPr>
        <w:t>Vervangen van de verlichting voor LED met bewegingssensoren in de kantoorruimtes</w:t>
      </w:r>
    </w:p>
    <w:p w14:paraId="4F67D5D2" w14:textId="77777777" w:rsidR="00D90718" w:rsidRPr="0057033B" w:rsidRDefault="00D90718" w:rsidP="00D90718">
      <w:pPr>
        <w:numPr>
          <w:ilvl w:val="1"/>
          <w:numId w:val="13"/>
        </w:numPr>
        <w:spacing w:line="276" w:lineRule="auto"/>
        <w:jc w:val="left"/>
        <w:rPr>
          <w:rFonts w:eastAsia="Microsoft YaHei Light" w:cs="Arial"/>
          <w:szCs w:val="19"/>
        </w:rPr>
      </w:pPr>
      <w:r w:rsidRPr="0057033B">
        <w:rPr>
          <w:rFonts w:eastAsia="Microsoft YaHei Light" w:cs="Arial"/>
          <w:szCs w:val="19"/>
        </w:rPr>
        <w:t>Medewerkers laten meedenken op het gebied van energiebesparingen</w:t>
      </w:r>
    </w:p>
    <w:p w14:paraId="5D82BB72" w14:textId="77777777" w:rsidR="00D90718" w:rsidRPr="0057033B" w:rsidRDefault="00D90718" w:rsidP="00D90718">
      <w:pPr>
        <w:numPr>
          <w:ilvl w:val="1"/>
          <w:numId w:val="13"/>
        </w:numPr>
        <w:spacing w:line="276" w:lineRule="auto"/>
        <w:jc w:val="left"/>
        <w:rPr>
          <w:rFonts w:eastAsia="Microsoft YaHei Light" w:cs="Arial"/>
          <w:szCs w:val="19"/>
        </w:rPr>
      </w:pPr>
      <w:r w:rsidRPr="0057033B">
        <w:rPr>
          <w:rFonts w:eastAsia="Microsoft YaHei Light" w:cs="Arial"/>
          <w:szCs w:val="19"/>
        </w:rPr>
        <w:t>Luchtcompressor werkplaats optimaliseren</w:t>
      </w:r>
    </w:p>
    <w:p w14:paraId="7B5DDC4D" w14:textId="77777777" w:rsidR="00D90718" w:rsidRPr="0057033B" w:rsidRDefault="00D90718" w:rsidP="00D90718">
      <w:pPr>
        <w:numPr>
          <w:ilvl w:val="1"/>
          <w:numId w:val="13"/>
        </w:numPr>
        <w:spacing w:line="276" w:lineRule="auto"/>
        <w:jc w:val="left"/>
        <w:rPr>
          <w:rFonts w:eastAsia="Microsoft YaHei Light" w:cs="Arial"/>
          <w:szCs w:val="19"/>
        </w:rPr>
      </w:pPr>
      <w:r w:rsidRPr="0057033B">
        <w:rPr>
          <w:rFonts w:eastAsia="Microsoft YaHei Light" w:cs="Arial"/>
          <w:szCs w:val="19"/>
        </w:rPr>
        <w:t>Buitenverlichting vervangen in LED</w:t>
      </w:r>
    </w:p>
    <w:p w14:paraId="2BC48E7B" w14:textId="192FF603" w:rsidR="00940DCF" w:rsidRPr="00D90718" w:rsidRDefault="00D90718" w:rsidP="00D90718">
      <w:pPr>
        <w:numPr>
          <w:ilvl w:val="1"/>
          <w:numId w:val="13"/>
        </w:numPr>
        <w:spacing w:line="276" w:lineRule="auto"/>
        <w:jc w:val="left"/>
        <w:rPr>
          <w:rFonts w:eastAsia="Microsoft YaHei Light" w:cs="Arial"/>
          <w:szCs w:val="19"/>
        </w:rPr>
      </w:pPr>
      <w:r w:rsidRPr="0057033B">
        <w:rPr>
          <w:rFonts w:eastAsia="Microsoft YaHei Light" w:cs="Arial"/>
          <w:szCs w:val="19"/>
        </w:rPr>
        <w:t>Aanschaf warmtepompen ipv verwarmingsketels op aardgas</w:t>
      </w:r>
    </w:p>
    <w:p w14:paraId="2E9ADB3A" w14:textId="77777777" w:rsidR="00940DCF" w:rsidRDefault="00940DCF" w:rsidP="00940DCF">
      <w:pPr>
        <w:jc w:val="left"/>
        <w:rPr>
          <w:color w:val="ED7D31" w:themeColor="accent2"/>
        </w:rPr>
      </w:pPr>
    </w:p>
    <w:p w14:paraId="05D9120C" w14:textId="1284BECD" w:rsidR="00940DCF" w:rsidRPr="008E7BC0" w:rsidRDefault="00940DCF" w:rsidP="00940DCF">
      <w:pPr>
        <w:pStyle w:val="Lijstalinea"/>
        <w:numPr>
          <w:ilvl w:val="0"/>
          <w:numId w:val="13"/>
        </w:numPr>
        <w:jc w:val="left"/>
        <w:rPr>
          <w:color w:val="ED7D31" w:themeColor="accent2"/>
        </w:rPr>
      </w:pPr>
      <w:r w:rsidRPr="008E7BC0">
        <w:rPr>
          <w:b/>
          <w:color w:val="000000" w:themeColor="text1"/>
        </w:rPr>
        <w:t xml:space="preserve">Sectorgenoot </w:t>
      </w:r>
      <w:r>
        <w:rPr>
          <w:b/>
          <w:color w:val="000000" w:themeColor="text1"/>
        </w:rPr>
        <w:t>2</w:t>
      </w:r>
      <w:r w:rsidRPr="008E7BC0">
        <w:rPr>
          <w:b/>
          <w:color w:val="000000" w:themeColor="text1"/>
        </w:rPr>
        <w:t xml:space="preserve"> | </w:t>
      </w:r>
      <w:r w:rsidR="00A6515E" w:rsidRPr="0057033B">
        <w:rPr>
          <w:rFonts w:eastAsia="Microsoft YaHei Light" w:cs="Arial"/>
          <w:b/>
          <w:szCs w:val="19"/>
        </w:rPr>
        <w:t>Pilkes Infra (niveau 5 klein bedrijf)</w:t>
      </w:r>
      <w:r w:rsidRPr="008E7BC0">
        <w:rPr>
          <w:b/>
          <w:color w:val="ED7D31" w:themeColor="accent2"/>
        </w:rPr>
        <w:br/>
      </w:r>
      <w:r w:rsidRPr="008E7BC0">
        <w:rPr>
          <w:color w:val="000000" w:themeColor="text1"/>
        </w:rPr>
        <w:t>CO</w:t>
      </w:r>
      <w:r w:rsidRPr="008E7BC0">
        <w:rPr>
          <w:color w:val="000000" w:themeColor="text1"/>
          <w:vertAlign w:val="subscript"/>
        </w:rPr>
        <w:t>2</w:t>
      </w:r>
      <w:r w:rsidRPr="008E7BC0">
        <w:rPr>
          <w:color w:val="000000" w:themeColor="text1"/>
        </w:rPr>
        <w:t>-</w:t>
      </w:r>
      <w:r>
        <w:rPr>
          <w:color w:val="000000" w:themeColor="text1"/>
        </w:rPr>
        <w:t>footprint</w:t>
      </w:r>
      <w:r w:rsidRPr="008E7BC0">
        <w:rPr>
          <w:color w:val="000000" w:themeColor="text1"/>
        </w:rPr>
        <w:t xml:space="preserve"> in </w:t>
      </w:r>
      <w:r w:rsidRPr="003A597F">
        <w:t xml:space="preserve">referentiejaar: </w:t>
      </w:r>
      <w:r w:rsidR="003A597F" w:rsidRPr="003A597F">
        <w:t>1.066,94</w:t>
      </w:r>
      <w:r w:rsidRPr="003A597F">
        <w:t xml:space="preserve"> ton </w:t>
      </w:r>
      <w:r w:rsidRPr="008E7BC0">
        <w:rPr>
          <w:color w:val="000000" w:themeColor="text1"/>
        </w:rPr>
        <w:t>CO</w:t>
      </w:r>
      <w:r w:rsidRPr="008E7BC0">
        <w:rPr>
          <w:color w:val="000000" w:themeColor="text1"/>
          <w:vertAlign w:val="subscript"/>
        </w:rPr>
        <w:t>2</w:t>
      </w:r>
    </w:p>
    <w:p w14:paraId="7395FEE5" w14:textId="4D17397B" w:rsidR="00940DCF" w:rsidRPr="008E7BC0" w:rsidRDefault="00940DCF" w:rsidP="00940DCF">
      <w:pPr>
        <w:pStyle w:val="Lijstalinea"/>
        <w:ind w:left="1068"/>
        <w:jc w:val="left"/>
        <w:rPr>
          <w:color w:val="ED7D31" w:themeColor="accent2"/>
        </w:rPr>
      </w:pPr>
      <w:r w:rsidRPr="008E7BC0">
        <w:rPr>
          <w:color w:val="000000" w:themeColor="text1"/>
        </w:rPr>
        <w:t xml:space="preserve">Doelstelling scope 1, 2 en business </w:t>
      </w:r>
      <w:r w:rsidRPr="00D94EB8">
        <w:t xml:space="preserve">travel: </w:t>
      </w:r>
      <w:r w:rsidR="00687316">
        <w:t>50</w:t>
      </w:r>
      <w:r w:rsidRPr="00D94EB8">
        <w:t>% in 20</w:t>
      </w:r>
      <w:r w:rsidR="00DB1BCB" w:rsidRPr="00D94EB8">
        <w:t>2</w:t>
      </w:r>
      <w:r w:rsidR="00E634F5">
        <w:t>6</w:t>
      </w:r>
      <w:r w:rsidRPr="00D94EB8">
        <w:t xml:space="preserve"> ten opzichte van 20</w:t>
      </w:r>
      <w:r w:rsidR="00DB1BCB" w:rsidRPr="00D94EB8">
        <w:t>12</w:t>
      </w:r>
      <w:r w:rsidRPr="008E7BC0">
        <w:rPr>
          <w:color w:val="ED7D31" w:themeColor="accent2"/>
        </w:rPr>
        <w:br/>
      </w:r>
      <w:r w:rsidRPr="008E7BC0">
        <w:rPr>
          <w:color w:val="000000" w:themeColor="text1"/>
        </w:rPr>
        <w:t>Meest significante maatregelen in het plan van aanpak:</w:t>
      </w:r>
    </w:p>
    <w:p w14:paraId="4F690FA5"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Inkopen van 100% Nederlands opgewekte groene stroom</w:t>
      </w:r>
    </w:p>
    <w:p w14:paraId="0C8A0A3B"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Energiescan uit laten voeren vestiging en fabriekshal</w:t>
      </w:r>
    </w:p>
    <w:p w14:paraId="26B73262"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LED binnenverlichting</w:t>
      </w:r>
    </w:p>
    <w:p w14:paraId="5D148EE0"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 xml:space="preserve">Kleinere boiler installeren </w:t>
      </w:r>
    </w:p>
    <w:p w14:paraId="78BA06D5"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Maandelijks verbruik uitlezen en analyse trekken</w:t>
      </w:r>
    </w:p>
    <w:p w14:paraId="13A502F5"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Toepassen Traxx als toevoeging</w:t>
      </w:r>
    </w:p>
    <w:p w14:paraId="3C6F21EF"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Band op spanning</w:t>
      </w:r>
    </w:p>
    <w:p w14:paraId="0E7598C2"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Medewerkers laten carpoolen</w:t>
      </w:r>
    </w:p>
    <w:p w14:paraId="5071F02A"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Aanschaffen 10 monitoringssystemen voor rijgedrag</w:t>
      </w:r>
    </w:p>
    <w:p w14:paraId="3E17631C"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Medewerkers halfjaarlijks informeren over CO2 (ook bij indiensttreding)</w:t>
      </w:r>
    </w:p>
    <w:p w14:paraId="2241F992"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Fabrieks- en werkelijk verbruik auto’s inzichtelijk maken</w:t>
      </w:r>
    </w:p>
    <w:p w14:paraId="58102C0E" w14:textId="77777777" w:rsidR="00990CA2" w:rsidRPr="0057033B"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EURO 5 vrachtwagens en bestelwagens aanschaffen bij vervanging</w:t>
      </w:r>
    </w:p>
    <w:p w14:paraId="5C607B4B" w14:textId="60A9018D" w:rsidR="00940DCF" w:rsidRPr="00990CA2" w:rsidRDefault="00990CA2" w:rsidP="00990CA2">
      <w:pPr>
        <w:numPr>
          <w:ilvl w:val="1"/>
          <w:numId w:val="13"/>
        </w:numPr>
        <w:spacing w:line="276" w:lineRule="auto"/>
        <w:jc w:val="left"/>
        <w:rPr>
          <w:rFonts w:eastAsia="Microsoft YaHei Light" w:cs="Arial"/>
          <w:szCs w:val="19"/>
        </w:rPr>
      </w:pPr>
      <w:r w:rsidRPr="0057033B">
        <w:rPr>
          <w:rFonts w:eastAsia="Microsoft YaHei Light" w:cs="Arial"/>
          <w:szCs w:val="19"/>
        </w:rPr>
        <w:t>Kilometerstanden bijhouden voor inzicht verbrui</w:t>
      </w:r>
      <w:r>
        <w:rPr>
          <w:rFonts w:eastAsia="Microsoft YaHei Light" w:cs="Arial"/>
          <w:szCs w:val="19"/>
        </w:rPr>
        <w:t>k</w:t>
      </w:r>
    </w:p>
    <w:p w14:paraId="7C66DFDB" w14:textId="77777777" w:rsidR="00940DCF" w:rsidRPr="008E7BC0" w:rsidRDefault="00940DCF" w:rsidP="00940DCF">
      <w:pPr>
        <w:rPr>
          <w:color w:val="ED7D31" w:themeColor="accent2"/>
        </w:rPr>
      </w:pPr>
    </w:p>
    <w:p w14:paraId="11A6DF2E" w14:textId="77777777" w:rsidR="00940DCF" w:rsidRPr="00CB1565" w:rsidRDefault="00940DCF" w:rsidP="00940DCF">
      <w:pPr>
        <w:pStyle w:val="Kop3"/>
      </w:pPr>
      <w:bookmarkStart w:id="103" w:name="_Toc17187876"/>
      <w:bookmarkStart w:id="104" w:name="_Toc90908441"/>
      <w:bookmarkStart w:id="105" w:name="_Toc118736250"/>
      <w:bookmarkStart w:id="106" w:name="_Toc142472134"/>
      <w:r w:rsidRPr="00CB1565">
        <w:t>SKAO</w:t>
      </w:r>
      <w:bookmarkEnd w:id="103"/>
      <w:bookmarkEnd w:id="104"/>
      <w:bookmarkEnd w:id="105"/>
      <w:r w:rsidR="00D33DC7">
        <w:t xml:space="preserve"> maatregellijst</w:t>
      </w:r>
      <w:bookmarkEnd w:id="106"/>
    </w:p>
    <w:p w14:paraId="49CC9CAF" w14:textId="62608951" w:rsidR="00940DCF" w:rsidRPr="00C14FA6" w:rsidRDefault="00940DCF" w:rsidP="00940DCF">
      <w:r w:rsidRPr="00C14FA6">
        <w:t xml:space="preserve">De algemene conclusie naar aanleiding van de maatregellijst is dat de organisatie al vrij vooruitstrevend is op het gebied </w:t>
      </w:r>
      <w:r w:rsidR="00E26A45" w:rsidRPr="00C14FA6">
        <w:t>van CO</w:t>
      </w:r>
      <w:r w:rsidR="00E26A45" w:rsidRPr="00C14FA6">
        <w:rPr>
          <w:vertAlign w:val="subscript"/>
        </w:rPr>
        <w:t>2</w:t>
      </w:r>
      <w:r w:rsidR="00E26A45" w:rsidRPr="00C14FA6">
        <w:t>-reductie bespreken bij grote opdrachtgevers, inkopen van hybride machines en het leasebeleid voor personenwagens.</w:t>
      </w:r>
      <w:r w:rsidR="00234FB8" w:rsidRPr="00C14FA6">
        <w:t xml:space="preserve"> Aangezien brandstof de grootste emissiestroom is heeft dit ook de meeste impact. </w:t>
      </w:r>
      <w:r w:rsidRPr="00C14FA6">
        <w:t xml:space="preserve">Echter zijn er nog voldoende maatregelen te nemen om het fossiele </w:t>
      </w:r>
      <w:r w:rsidR="00156956" w:rsidRPr="00C14FA6">
        <w:t>brandstof-</w:t>
      </w:r>
      <w:r w:rsidR="00FF22FA" w:rsidRPr="00C14FA6">
        <w:t xml:space="preserve">, </w:t>
      </w:r>
      <w:r w:rsidR="00156956" w:rsidRPr="00C14FA6">
        <w:t>aardgas</w:t>
      </w:r>
      <w:r w:rsidR="00FF22FA" w:rsidRPr="00C14FA6">
        <w:t>- en elektriciteits</w:t>
      </w:r>
      <w:r w:rsidRPr="00C14FA6">
        <w:t xml:space="preserve">verbruik te verminderen, zoals het inzetten van volledig elektrische auto’s, gebruik van biobrandstoffen, </w:t>
      </w:r>
      <w:r w:rsidR="007B671A" w:rsidRPr="00C14FA6">
        <w:t>inkopen van GvO</w:t>
      </w:r>
      <w:r w:rsidR="00FF22FA" w:rsidRPr="00C14FA6">
        <w:t>’</w:t>
      </w:r>
      <w:r w:rsidR="007B671A" w:rsidRPr="00C14FA6">
        <w:t xml:space="preserve">s </w:t>
      </w:r>
      <w:r w:rsidR="00FF22FA" w:rsidRPr="00C14FA6">
        <w:t xml:space="preserve">om het grijze elektriciteitsverbruik mee te vergroenen </w:t>
      </w:r>
      <w:r w:rsidRPr="00C14FA6">
        <w:t>en</w:t>
      </w:r>
      <w:r w:rsidR="00EF15C4" w:rsidRPr="00C14FA6">
        <w:t xml:space="preserve"> in gesprek gaan met de verhuurders van het vastgoed voor</w:t>
      </w:r>
      <w:r w:rsidRPr="00C14FA6">
        <w:t xml:space="preserve"> het nemen van extra maatregelen om het vastgoed te verduurzamen.</w:t>
      </w:r>
    </w:p>
    <w:p w14:paraId="49A3CF86" w14:textId="77777777" w:rsidR="008E7BC0" w:rsidRDefault="008E7BC0" w:rsidP="008E7BC0">
      <w:pPr>
        <w:rPr>
          <w:color w:val="ED7D31" w:themeColor="accent2"/>
        </w:rPr>
      </w:pPr>
    </w:p>
    <w:p w14:paraId="2C5D1B60" w14:textId="77777777" w:rsidR="008E7BC0" w:rsidRDefault="008E7BC0" w:rsidP="008E7BC0">
      <w:pPr>
        <w:pStyle w:val="Kop2"/>
      </w:pPr>
      <w:bookmarkStart w:id="107" w:name="_CO2-reductiedoelstellingen_en_voort"/>
      <w:bookmarkStart w:id="108" w:name="_Toc118736245"/>
      <w:bookmarkStart w:id="109" w:name="_Toc142472135"/>
      <w:bookmarkEnd w:id="107"/>
      <w:r w:rsidRPr="006C3145">
        <w:lastRenderedPageBreak/>
        <w:t>CO</w:t>
      </w:r>
      <w:r w:rsidRPr="006C3145">
        <w:rPr>
          <w:vertAlign w:val="subscript"/>
        </w:rPr>
        <w:t>2</w:t>
      </w:r>
      <w:r>
        <w:t>-reductiedoelstellingen</w:t>
      </w:r>
      <w:r w:rsidR="00537C68">
        <w:t xml:space="preserve"> en voortgang</w:t>
      </w:r>
      <w:bookmarkEnd w:id="108"/>
      <w:bookmarkEnd w:id="109"/>
    </w:p>
    <w:p w14:paraId="0AF00799" w14:textId="77777777" w:rsidR="00D8036F" w:rsidRDefault="00D8036F" w:rsidP="00D8036F">
      <w:r>
        <w:t xml:space="preserve">Onderstaande doelstellingen zijn </w:t>
      </w:r>
      <w:r w:rsidR="00421BEB">
        <w:t xml:space="preserve">gebaseerd op </w:t>
      </w:r>
      <w:r w:rsidR="00421BEB" w:rsidRPr="006C3145">
        <w:t>CO</w:t>
      </w:r>
      <w:r w:rsidR="00421BEB" w:rsidRPr="006C3145">
        <w:rPr>
          <w:vertAlign w:val="subscript"/>
        </w:rPr>
        <w:t>2</w:t>
      </w:r>
      <w:r w:rsidR="00421BEB">
        <w:t>-reductiemaatregelen die te vinden zijn in het plan van aanpak</w:t>
      </w:r>
      <w:r w:rsidR="009D021B">
        <w:t xml:space="preserve"> in het Excel document “</w:t>
      </w:r>
      <w:r w:rsidR="0051215E">
        <w:t>Acties, planning en verantwoordelijkheden</w:t>
      </w:r>
      <w:r w:rsidR="009D021B">
        <w:t>”. Hier staa</w:t>
      </w:r>
      <w:r w:rsidR="007D68F8">
        <w:t>n</w:t>
      </w:r>
      <w:r w:rsidR="009D021B">
        <w:t xml:space="preserve"> tevens de doorberekening</w:t>
      </w:r>
      <w:r w:rsidR="007D68F8">
        <w:t>en</w:t>
      </w:r>
      <w:r w:rsidR="009D021B">
        <w:t xml:space="preserve"> van de scope 1</w:t>
      </w:r>
      <w:r w:rsidR="00F96DDD">
        <w:t>,</w:t>
      </w:r>
      <w:r w:rsidR="009D021B">
        <w:t xml:space="preserve"> 2 </w:t>
      </w:r>
      <w:r w:rsidR="00F96DDD">
        <w:t xml:space="preserve">en business travel </w:t>
      </w:r>
      <w:r w:rsidR="007D68F8">
        <w:t xml:space="preserve">doelstellingen. </w:t>
      </w:r>
    </w:p>
    <w:p w14:paraId="35602444" w14:textId="77777777" w:rsidR="00D8036F" w:rsidRPr="00D8036F" w:rsidRDefault="00D8036F" w:rsidP="00D8036F"/>
    <w:p w14:paraId="266650CE" w14:textId="22533E94" w:rsidR="00B11307" w:rsidRPr="00197DE2" w:rsidRDefault="009E5008" w:rsidP="000F1F14">
      <w:pPr>
        <w:pStyle w:val="Kop3"/>
      </w:pPr>
      <w:bookmarkStart w:id="110" w:name="_Toc118736246"/>
      <w:bookmarkStart w:id="111" w:name="_Toc142472136"/>
      <w:r w:rsidRPr="003F4B28">
        <w:t>Hoofddoelstelling</w:t>
      </w:r>
      <w:bookmarkEnd w:id="110"/>
      <w:bookmarkEnd w:id="111"/>
    </w:p>
    <w:p w14:paraId="0561AF3C" w14:textId="77777777" w:rsidR="00414352" w:rsidRPr="00522956" w:rsidRDefault="00414352" w:rsidP="00B052A5">
      <w:pPr>
        <w:rPr>
          <w:color w:val="ED7D31" w:themeColor="accent2"/>
        </w:rPr>
      </w:pPr>
    </w:p>
    <w:p w14:paraId="4DF4359A" w14:textId="401F6D8C" w:rsidR="009C63E4" w:rsidRDefault="00E85A68" w:rsidP="00B052A5">
      <w:pPr>
        <w:rPr>
          <w:color w:val="ED7D31" w:themeColor="accent2"/>
        </w:rPr>
      </w:pPr>
      <w:r w:rsidRPr="00E85A68">
        <w:rPr>
          <w:noProof/>
        </w:rPr>
        <w:drawing>
          <wp:inline distT="0" distB="0" distL="0" distR="0" wp14:anchorId="2EB787DD" wp14:editId="5E0B6831">
            <wp:extent cx="5816999" cy="2642400"/>
            <wp:effectExtent l="0" t="0" r="0" b="5715"/>
            <wp:docPr id="155410903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6999" cy="2642400"/>
                    </a:xfrm>
                    <a:prstGeom prst="rect">
                      <a:avLst/>
                    </a:prstGeom>
                    <a:noFill/>
                    <a:ln>
                      <a:noFill/>
                    </a:ln>
                  </pic:spPr>
                </pic:pic>
              </a:graphicData>
            </a:graphic>
          </wp:inline>
        </w:drawing>
      </w:r>
    </w:p>
    <w:p w14:paraId="246E8A52" w14:textId="77777777" w:rsidR="009C63E4" w:rsidRDefault="009C63E4" w:rsidP="00B052A5">
      <w:pPr>
        <w:rPr>
          <w:color w:val="ED7D31" w:themeColor="accent2"/>
        </w:rPr>
      </w:pPr>
    </w:p>
    <w:p w14:paraId="5A059017" w14:textId="4E62882A" w:rsidR="009C63E4" w:rsidRDefault="001F0416" w:rsidP="00B052A5">
      <w:pPr>
        <w:rPr>
          <w:color w:val="ED7D31" w:themeColor="accent2"/>
        </w:rPr>
      </w:pPr>
      <w:r w:rsidRPr="001F0416">
        <w:rPr>
          <w:noProof/>
        </w:rPr>
        <w:drawing>
          <wp:inline distT="0" distB="0" distL="0" distR="0" wp14:anchorId="6389331D" wp14:editId="24CB321C">
            <wp:extent cx="5760720" cy="920115"/>
            <wp:effectExtent l="0" t="0" r="0" b="0"/>
            <wp:docPr id="137137679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920115"/>
                    </a:xfrm>
                    <a:prstGeom prst="rect">
                      <a:avLst/>
                    </a:prstGeom>
                    <a:noFill/>
                    <a:ln>
                      <a:noFill/>
                    </a:ln>
                  </pic:spPr>
                </pic:pic>
              </a:graphicData>
            </a:graphic>
          </wp:inline>
        </w:drawing>
      </w:r>
    </w:p>
    <w:p w14:paraId="6E25DAE7" w14:textId="77777777" w:rsidR="00B074A6" w:rsidRDefault="00B074A6" w:rsidP="00B052A5">
      <w:pPr>
        <w:rPr>
          <w:color w:val="ED7D31" w:themeColor="accent2"/>
        </w:rPr>
      </w:pPr>
    </w:p>
    <w:p w14:paraId="20D52314" w14:textId="4F00CA12" w:rsidR="00B074A6" w:rsidRDefault="00870C09" w:rsidP="00B052A5">
      <w:pPr>
        <w:rPr>
          <w:color w:val="ED7D31" w:themeColor="accent2"/>
        </w:rPr>
      </w:pPr>
      <w:r>
        <w:rPr>
          <w:noProof/>
        </w:rPr>
        <w:drawing>
          <wp:inline distT="0" distB="0" distL="0" distR="0" wp14:anchorId="6C54F9B1" wp14:editId="1ED38B28">
            <wp:extent cx="5760720" cy="3039745"/>
            <wp:effectExtent l="0" t="0" r="11430" b="8255"/>
            <wp:docPr id="1359247657" name="Grafiek 1">
              <a:extLst xmlns:a="http://schemas.openxmlformats.org/drawingml/2006/main">
                <a:ext uri="{FF2B5EF4-FFF2-40B4-BE49-F238E27FC236}">
                  <a16:creationId xmlns:a16="http://schemas.microsoft.com/office/drawing/2014/main" id="{99AB1DE5-3C92-4963-BA0A-ED1F74E71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FCF56F" w14:textId="77777777" w:rsidR="009C63E4" w:rsidRDefault="009C63E4" w:rsidP="00B052A5">
      <w:pPr>
        <w:rPr>
          <w:color w:val="ED7D31" w:themeColor="accent2"/>
        </w:rPr>
      </w:pPr>
    </w:p>
    <w:p w14:paraId="6BACD187" w14:textId="1F49FE09" w:rsidR="00174332" w:rsidRPr="00174332" w:rsidRDefault="000F1F14" w:rsidP="00B052A5">
      <w:r>
        <w:t xml:space="preserve">Afgelopen jaar is er een nieuwe doelstelling gemaakt: </w:t>
      </w:r>
    </w:p>
    <w:p w14:paraId="234B8BB8" w14:textId="77777777" w:rsidR="00B11307" w:rsidRDefault="00B11307" w:rsidP="00B052A5">
      <w:pPr>
        <w:rPr>
          <w:color w:val="ED7D31" w:themeColor="accent2"/>
        </w:rPr>
      </w:pPr>
    </w:p>
    <w:tbl>
      <w:tblPr>
        <w:tblStyle w:val="Tabelraster"/>
        <w:tblW w:w="93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9322"/>
      </w:tblGrid>
      <w:tr w:rsidR="00B46AE2" w:rsidRPr="00DB3A2A" w14:paraId="259AD192" w14:textId="77777777" w:rsidTr="00ED6E7E">
        <w:trPr>
          <w:trHeight w:val="425"/>
        </w:trPr>
        <w:tc>
          <w:tcPr>
            <w:tcW w:w="932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6ABE93"/>
            <w:vAlign w:val="center"/>
          </w:tcPr>
          <w:p w14:paraId="30D63ACF" w14:textId="77777777" w:rsidR="00B46AE2" w:rsidRPr="00DB3A2A" w:rsidRDefault="00F96DDD" w:rsidP="00ED6E7E">
            <w:pPr>
              <w:spacing w:line="276" w:lineRule="auto"/>
              <w:jc w:val="center"/>
              <w:rPr>
                <w:b/>
                <w:bCs/>
                <w:color w:val="000000" w:themeColor="text1"/>
                <w:szCs w:val="20"/>
              </w:rPr>
            </w:pPr>
            <w:r>
              <w:rPr>
                <w:b/>
                <w:caps/>
                <w:color w:val="000000" w:themeColor="text1"/>
              </w:rPr>
              <w:t>HOOFD</w:t>
            </w:r>
            <w:r w:rsidR="00B46AE2" w:rsidRPr="00DB3A2A">
              <w:rPr>
                <w:b/>
                <w:caps/>
                <w:color w:val="000000" w:themeColor="text1"/>
              </w:rPr>
              <w:t xml:space="preserve">doelstelling </w:t>
            </w:r>
            <w:r>
              <w:rPr>
                <w:b/>
                <w:caps/>
                <w:color w:val="000000" w:themeColor="text1"/>
              </w:rPr>
              <w:t xml:space="preserve"> SCOPE 1 en 2</w:t>
            </w:r>
          </w:p>
        </w:tc>
      </w:tr>
      <w:tr w:rsidR="00B46AE2" w:rsidRPr="00DB3A2A" w14:paraId="5D6075A5" w14:textId="77777777" w:rsidTr="00ED6E7E">
        <w:tc>
          <w:tcPr>
            <w:tcW w:w="9322" w:type="dxa"/>
            <w:tcBorders>
              <w:top w:val="single" w:sz="36" w:space="0" w:color="FFFFFF" w:themeColor="background1"/>
            </w:tcBorders>
            <w:shd w:val="clear" w:color="auto" w:fill="F2F2F2" w:themeFill="background1" w:themeFillShade="F2"/>
          </w:tcPr>
          <w:p w14:paraId="3F66949F" w14:textId="0EDBC797" w:rsidR="00B46AE2" w:rsidRPr="00B46AE2" w:rsidRDefault="00203237" w:rsidP="00ED6E7E">
            <w:pPr>
              <w:spacing w:line="276" w:lineRule="auto"/>
              <w:jc w:val="center"/>
              <w:rPr>
                <w:color w:val="000000" w:themeColor="text1"/>
              </w:rPr>
            </w:pPr>
            <w:r w:rsidRPr="00224CF1">
              <w:rPr>
                <w:sz w:val="18"/>
                <w:szCs w:val="22"/>
              </w:rPr>
              <w:lastRenderedPageBreak/>
              <w:t>CityTec</w:t>
            </w:r>
            <w:r w:rsidR="00B46AE2" w:rsidRPr="00224CF1">
              <w:rPr>
                <w:sz w:val="18"/>
                <w:szCs w:val="22"/>
              </w:rPr>
              <w:t xml:space="preserve"> wil in </w:t>
            </w:r>
            <w:r w:rsidR="00B46AE2" w:rsidRPr="00224CF1">
              <w:rPr>
                <w:sz w:val="18"/>
                <w:szCs w:val="18"/>
              </w:rPr>
              <w:t>20</w:t>
            </w:r>
            <w:r w:rsidRPr="00224CF1">
              <w:rPr>
                <w:sz w:val="18"/>
                <w:szCs w:val="18"/>
              </w:rPr>
              <w:t>27</w:t>
            </w:r>
            <w:r w:rsidR="00B46AE2" w:rsidRPr="00224CF1">
              <w:rPr>
                <w:sz w:val="18"/>
                <w:szCs w:val="22"/>
              </w:rPr>
              <w:t xml:space="preserve"> ten opzichte van</w:t>
            </w:r>
            <w:r w:rsidR="00B46AE2" w:rsidRPr="00224CF1">
              <w:rPr>
                <w:sz w:val="18"/>
                <w:szCs w:val="18"/>
              </w:rPr>
              <w:t xml:space="preserve"> </w:t>
            </w:r>
            <w:r w:rsidR="00B46AE2" w:rsidRPr="00382C71">
              <w:rPr>
                <w:sz w:val="18"/>
                <w:szCs w:val="18"/>
              </w:rPr>
              <w:t>20</w:t>
            </w:r>
            <w:r w:rsidR="00224CF1" w:rsidRPr="00382C71">
              <w:rPr>
                <w:sz w:val="18"/>
                <w:szCs w:val="18"/>
              </w:rPr>
              <w:t>17</w:t>
            </w:r>
            <w:r w:rsidR="00B46AE2" w:rsidRPr="00382C71">
              <w:rPr>
                <w:sz w:val="18"/>
                <w:szCs w:val="18"/>
              </w:rPr>
              <w:t xml:space="preserve"> </w:t>
            </w:r>
            <w:r w:rsidR="00B44C21" w:rsidRPr="00382C71">
              <w:rPr>
                <w:sz w:val="18"/>
                <w:szCs w:val="18"/>
              </w:rPr>
              <w:t>5</w:t>
            </w:r>
            <w:r w:rsidR="00B3434B">
              <w:rPr>
                <w:sz w:val="18"/>
                <w:szCs w:val="18"/>
              </w:rPr>
              <w:t>2</w:t>
            </w:r>
            <w:r w:rsidR="00B46AE2" w:rsidRPr="00382C71">
              <w:rPr>
                <w:sz w:val="18"/>
                <w:szCs w:val="18"/>
              </w:rPr>
              <w:t>%</w:t>
            </w:r>
            <w:r w:rsidR="00B46AE2" w:rsidRPr="00382C71">
              <w:rPr>
                <w:sz w:val="18"/>
                <w:szCs w:val="22"/>
              </w:rPr>
              <w:t xml:space="preserve"> </w:t>
            </w:r>
            <w:r w:rsidR="00B46AE2" w:rsidRPr="00B46AE2">
              <w:rPr>
                <w:color w:val="000000" w:themeColor="text1"/>
                <w:sz w:val="18"/>
                <w:szCs w:val="22"/>
              </w:rPr>
              <w:t>minder CO</w:t>
            </w:r>
            <w:r w:rsidR="00B46AE2" w:rsidRPr="00B46AE2">
              <w:rPr>
                <w:color w:val="000000" w:themeColor="text1"/>
                <w:sz w:val="18"/>
                <w:szCs w:val="22"/>
                <w:vertAlign w:val="subscript"/>
              </w:rPr>
              <w:t>2</w:t>
            </w:r>
            <w:r w:rsidR="00B46AE2" w:rsidRPr="00B46AE2">
              <w:rPr>
                <w:color w:val="000000" w:themeColor="text1"/>
                <w:sz w:val="18"/>
                <w:szCs w:val="22"/>
              </w:rPr>
              <w:t xml:space="preserve"> uitstoten</w:t>
            </w:r>
            <w:r w:rsidR="005B1065">
              <w:rPr>
                <w:color w:val="000000" w:themeColor="text1"/>
                <w:sz w:val="18"/>
                <w:szCs w:val="22"/>
              </w:rPr>
              <w:t>.</w:t>
            </w:r>
          </w:p>
        </w:tc>
      </w:tr>
    </w:tbl>
    <w:p w14:paraId="588E2BA2" w14:textId="77777777" w:rsidR="00B46AE2" w:rsidRDefault="00B46AE2" w:rsidP="00B052A5">
      <w:pPr>
        <w:rPr>
          <w:color w:val="ED7D31" w:themeColor="accent2"/>
        </w:rPr>
      </w:pPr>
    </w:p>
    <w:p w14:paraId="612CC6E2" w14:textId="1582F830" w:rsidR="00B052A5" w:rsidRDefault="00376D7B" w:rsidP="00B052A5">
      <w:r>
        <w:t xml:space="preserve">Deze </w:t>
      </w:r>
      <w:r w:rsidRPr="00E7097D">
        <w:t xml:space="preserve">doelstelling is gerelateerd aan </w:t>
      </w:r>
      <w:r w:rsidR="00E7097D" w:rsidRPr="00E7097D">
        <w:t xml:space="preserve">de omzet. </w:t>
      </w:r>
      <w:r w:rsidR="00993677" w:rsidRPr="00993677">
        <w:t>Dat komt voor 2024 neer op een reductiedoelstelling van 35%. De werkelijke reductie was 37%, de doelstelling is dus ruim gehaald.</w:t>
      </w:r>
    </w:p>
    <w:p w14:paraId="0DD6AE90" w14:textId="77777777" w:rsidR="00F162E0" w:rsidRDefault="00F162E0" w:rsidP="00B052A5"/>
    <w:tbl>
      <w:tblPr>
        <w:tblStyle w:val="Tabelraster"/>
        <w:tblW w:w="9316"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5194"/>
        <w:gridCol w:w="4122"/>
      </w:tblGrid>
      <w:tr w:rsidR="00A064A0" w:rsidRPr="006B3CC2" w14:paraId="39505586" w14:textId="77777777" w:rsidTr="009D1BAC">
        <w:trPr>
          <w:trHeight w:val="464"/>
        </w:trPr>
        <w:tc>
          <w:tcPr>
            <w:tcW w:w="9316"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6BBE93"/>
            <w:vAlign w:val="center"/>
          </w:tcPr>
          <w:p w14:paraId="7FF37159" w14:textId="77777777" w:rsidR="00A064A0" w:rsidRPr="006B3CC2" w:rsidRDefault="009D1BAC" w:rsidP="00ED6E7E">
            <w:pPr>
              <w:spacing w:line="276" w:lineRule="auto"/>
              <w:jc w:val="center"/>
              <w:rPr>
                <w:b/>
                <w:caps/>
                <w:color w:val="000000" w:themeColor="text1"/>
                <w:szCs w:val="20"/>
              </w:rPr>
            </w:pPr>
            <w:r>
              <w:rPr>
                <w:b/>
                <w:caps/>
                <w:color w:val="000000" w:themeColor="text1"/>
                <w:szCs w:val="20"/>
              </w:rPr>
              <w:t>JAARLIJKSE DOELSTELLING</w:t>
            </w:r>
            <w:r w:rsidR="00F96DDD">
              <w:rPr>
                <w:b/>
                <w:caps/>
                <w:color w:val="000000" w:themeColor="text1"/>
                <w:szCs w:val="20"/>
              </w:rPr>
              <w:t xml:space="preserve"> scope 1 en 2</w:t>
            </w:r>
          </w:p>
        </w:tc>
      </w:tr>
      <w:tr w:rsidR="00957E17" w:rsidRPr="00005E99" w14:paraId="4FAE9F5C"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59EDC8A0" w14:textId="53248558" w:rsidR="00957E17" w:rsidRPr="00005E99" w:rsidRDefault="00957E17" w:rsidP="00957E17">
            <w:pPr>
              <w:spacing w:line="276" w:lineRule="auto"/>
              <w:jc w:val="center"/>
              <w:rPr>
                <w:b/>
                <w:bCs/>
                <w:sz w:val="18"/>
                <w:szCs w:val="18"/>
              </w:rPr>
            </w:pPr>
            <w:r w:rsidRPr="00682248">
              <w:rPr>
                <w:b/>
                <w:bCs/>
                <w:sz w:val="18"/>
                <w:szCs w:val="18"/>
              </w:rPr>
              <w:t>20</w:t>
            </w:r>
            <w:r w:rsidR="005F15E1">
              <w:rPr>
                <w:b/>
                <w:bCs/>
                <w:sz w:val="18"/>
                <w:szCs w:val="18"/>
              </w:rPr>
              <w:t>18</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12367EE4" w14:textId="40FC2928" w:rsidR="00957E17" w:rsidRPr="00005E99" w:rsidRDefault="00DE4FD3" w:rsidP="00957E17">
            <w:pPr>
              <w:spacing w:line="276" w:lineRule="auto"/>
              <w:jc w:val="center"/>
              <w:rPr>
                <w:sz w:val="18"/>
                <w:szCs w:val="18"/>
              </w:rPr>
            </w:pPr>
            <w:r>
              <w:rPr>
                <w:sz w:val="18"/>
                <w:szCs w:val="18"/>
              </w:rPr>
              <w:t>5%</w:t>
            </w:r>
          </w:p>
        </w:tc>
      </w:tr>
      <w:tr w:rsidR="00957E17" w:rsidRPr="00005E99" w14:paraId="0F90B3D2"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79245E8A" w14:textId="4E58538F" w:rsidR="00957E17" w:rsidRPr="00005E99" w:rsidRDefault="00957E17" w:rsidP="00957E17">
            <w:pPr>
              <w:spacing w:line="276" w:lineRule="auto"/>
              <w:jc w:val="center"/>
              <w:rPr>
                <w:b/>
                <w:bCs/>
                <w:sz w:val="18"/>
                <w:szCs w:val="18"/>
              </w:rPr>
            </w:pPr>
            <w:r w:rsidRPr="00682248">
              <w:rPr>
                <w:b/>
                <w:bCs/>
                <w:sz w:val="18"/>
                <w:szCs w:val="18"/>
              </w:rPr>
              <w:t>20</w:t>
            </w:r>
            <w:r w:rsidR="005F15E1">
              <w:rPr>
                <w:b/>
                <w:bCs/>
                <w:sz w:val="18"/>
                <w:szCs w:val="18"/>
              </w:rPr>
              <w:t>19</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034BD756" w14:textId="16B15F85" w:rsidR="00957E17" w:rsidRPr="00005E99" w:rsidRDefault="00DE4FD3" w:rsidP="00957E17">
            <w:pPr>
              <w:spacing w:line="276" w:lineRule="auto"/>
              <w:jc w:val="center"/>
              <w:rPr>
                <w:sz w:val="18"/>
                <w:szCs w:val="18"/>
              </w:rPr>
            </w:pPr>
            <w:r>
              <w:rPr>
                <w:sz w:val="18"/>
                <w:szCs w:val="18"/>
              </w:rPr>
              <w:t>10%</w:t>
            </w:r>
          </w:p>
        </w:tc>
      </w:tr>
      <w:tr w:rsidR="00957E17" w:rsidRPr="00005E99" w14:paraId="294BB22C"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3D4F2DE6" w14:textId="35F33DB2" w:rsidR="00957E17" w:rsidRPr="00005E99" w:rsidRDefault="00957E17" w:rsidP="00957E17">
            <w:pPr>
              <w:spacing w:line="276" w:lineRule="auto"/>
              <w:jc w:val="center"/>
              <w:rPr>
                <w:b/>
                <w:bCs/>
                <w:sz w:val="18"/>
                <w:szCs w:val="18"/>
              </w:rPr>
            </w:pPr>
            <w:r w:rsidRPr="00682248">
              <w:rPr>
                <w:b/>
                <w:bCs/>
                <w:sz w:val="18"/>
                <w:szCs w:val="18"/>
              </w:rPr>
              <w:t>20</w:t>
            </w:r>
            <w:r w:rsidR="005F15E1">
              <w:rPr>
                <w:b/>
                <w:bCs/>
                <w:sz w:val="18"/>
                <w:szCs w:val="18"/>
              </w:rPr>
              <w:t>20</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1A09A49" w14:textId="46C702D5" w:rsidR="00957E17" w:rsidRPr="00005E99" w:rsidRDefault="00DE4FD3" w:rsidP="00957E17">
            <w:pPr>
              <w:spacing w:line="276" w:lineRule="auto"/>
              <w:jc w:val="center"/>
              <w:rPr>
                <w:sz w:val="18"/>
                <w:szCs w:val="18"/>
              </w:rPr>
            </w:pPr>
            <w:r>
              <w:rPr>
                <w:sz w:val="18"/>
                <w:szCs w:val="18"/>
              </w:rPr>
              <w:t>15%</w:t>
            </w:r>
          </w:p>
        </w:tc>
      </w:tr>
      <w:tr w:rsidR="00957E17" w:rsidRPr="00005E99" w14:paraId="1F192DD3"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57FEF8AE" w14:textId="0B9B995E" w:rsidR="00957E17" w:rsidRPr="00005E99" w:rsidRDefault="00957E17" w:rsidP="00957E17">
            <w:pPr>
              <w:spacing w:line="276" w:lineRule="auto"/>
              <w:jc w:val="center"/>
              <w:rPr>
                <w:b/>
                <w:bCs/>
                <w:sz w:val="18"/>
                <w:szCs w:val="18"/>
              </w:rPr>
            </w:pPr>
            <w:r w:rsidRPr="00682248">
              <w:rPr>
                <w:b/>
                <w:bCs/>
                <w:sz w:val="18"/>
                <w:szCs w:val="18"/>
              </w:rPr>
              <w:t>20</w:t>
            </w:r>
            <w:r w:rsidR="005F15E1">
              <w:rPr>
                <w:b/>
                <w:bCs/>
                <w:sz w:val="18"/>
                <w:szCs w:val="18"/>
              </w:rPr>
              <w:t>21</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6B971BFA" w14:textId="2442DF58" w:rsidR="00957E17" w:rsidRPr="00005E99" w:rsidRDefault="00CB792E" w:rsidP="00957E17">
            <w:pPr>
              <w:spacing w:line="276" w:lineRule="auto"/>
              <w:jc w:val="center"/>
              <w:rPr>
                <w:sz w:val="18"/>
                <w:szCs w:val="18"/>
              </w:rPr>
            </w:pPr>
            <w:r>
              <w:rPr>
                <w:sz w:val="18"/>
                <w:szCs w:val="18"/>
              </w:rPr>
              <w:t>20%</w:t>
            </w:r>
          </w:p>
        </w:tc>
      </w:tr>
      <w:tr w:rsidR="00957E17" w:rsidRPr="00005E99" w14:paraId="0609183A"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23FFAFA0" w14:textId="5F923472" w:rsidR="00957E17" w:rsidRPr="00005E99" w:rsidRDefault="00957E17" w:rsidP="00957E17">
            <w:pPr>
              <w:spacing w:line="276" w:lineRule="auto"/>
              <w:jc w:val="center"/>
              <w:rPr>
                <w:b/>
                <w:bCs/>
                <w:sz w:val="18"/>
                <w:szCs w:val="18"/>
              </w:rPr>
            </w:pPr>
            <w:r w:rsidRPr="00682248">
              <w:rPr>
                <w:b/>
                <w:bCs/>
                <w:sz w:val="18"/>
                <w:szCs w:val="18"/>
              </w:rPr>
              <w:t>20</w:t>
            </w:r>
            <w:r w:rsidR="005F15E1">
              <w:rPr>
                <w:b/>
                <w:bCs/>
                <w:sz w:val="18"/>
                <w:szCs w:val="18"/>
              </w:rPr>
              <w:t>22</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23015AE7" w14:textId="71C28AB9" w:rsidR="00957E17" w:rsidRPr="00005E99" w:rsidRDefault="00CB792E" w:rsidP="00B44C21">
            <w:pPr>
              <w:spacing w:line="276" w:lineRule="auto"/>
              <w:jc w:val="center"/>
              <w:rPr>
                <w:sz w:val="18"/>
                <w:szCs w:val="18"/>
              </w:rPr>
            </w:pPr>
            <w:r>
              <w:rPr>
                <w:sz w:val="18"/>
                <w:szCs w:val="18"/>
              </w:rPr>
              <w:t>25%</w:t>
            </w:r>
          </w:p>
        </w:tc>
      </w:tr>
      <w:tr w:rsidR="00957E17" w14:paraId="1C1F4CF2"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25F3276A" w14:textId="75414C75" w:rsidR="00957E17" w:rsidRPr="00005E99" w:rsidRDefault="00957E17" w:rsidP="00957E17">
            <w:pPr>
              <w:spacing w:line="276" w:lineRule="auto"/>
              <w:jc w:val="center"/>
              <w:rPr>
                <w:b/>
                <w:bCs/>
                <w:sz w:val="18"/>
                <w:szCs w:val="18"/>
              </w:rPr>
            </w:pPr>
            <w:r w:rsidRPr="00682248">
              <w:rPr>
                <w:b/>
                <w:bCs/>
                <w:sz w:val="18"/>
                <w:szCs w:val="18"/>
              </w:rPr>
              <w:t>20</w:t>
            </w:r>
            <w:r w:rsidR="005F15E1">
              <w:rPr>
                <w:b/>
                <w:bCs/>
                <w:sz w:val="18"/>
                <w:szCs w:val="18"/>
              </w:rPr>
              <w:t>23</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C3BC5C7" w14:textId="563D71D7" w:rsidR="00957E17" w:rsidRDefault="0013473A" w:rsidP="00957E17">
            <w:pPr>
              <w:spacing w:line="276" w:lineRule="auto"/>
              <w:jc w:val="center"/>
              <w:rPr>
                <w:sz w:val="18"/>
                <w:szCs w:val="18"/>
              </w:rPr>
            </w:pPr>
            <w:r>
              <w:rPr>
                <w:sz w:val="18"/>
                <w:szCs w:val="18"/>
              </w:rPr>
              <w:t>30</w:t>
            </w:r>
            <w:r w:rsidR="00CB792E">
              <w:rPr>
                <w:sz w:val="18"/>
                <w:szCs w:val="18"/>
              </w:rPr>
              <w:t>%</w:t>
            </w:r>
          </w:p>
        </w:tc>
      </w:tr>
      <w:tr w:rsidR="005F15E1" w14:paraId="14CF2422"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50FB10C2" w14:textId="0BC4530A" w:rsidR="005F15E1" w:rsidRPr="00682248" w:rsidRDefault="005F15E1" w:rsidP="00957E17">
            <w:pPr>
              <w:spacing w:line="276" w:lineRule="auto"/>
              <w:jc w:val="center"/>
              <w:rPr>
                <w:b/>
                <w:bCs/>
                <w:sz w:val="18"/>
                <w:szCs w:val="18"/>
              </w:rPr>
            </w:pPr>
            <w:r>
              <w:rPr>
                <w:b/>
                <w:bCs/>
                <w:sz w:val="18"/>
                <w:szCs w:val="18"/>
              </w:rPr>
              <w:t>2024</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4ABECD19" w14:textId="0DE62E66" w:rsidR="005F15E1" w:rsidRPr="006665C1" w:rsidRDefault="00CB792E" w:rsidP="00957E17">
            <w:pPr>
              <w:spacing w:line="276" w:lineRule="auto"/>
              <w:jc w:val="center"/>
              <w:rPr>
                <w:sz w:val="18"/>
                <w:szCs w:val="18"/>
              </w:rPr>
            </w:pPr>
            <w:r w:rsidRPr="006665C1">
              <w:rPr>
                <w:sz w:val="18"/>
                <w:szCs w:val="18"/>
              </w:rPr>
              <w:t>3</w:t>
            </w:r>
            <w:r w:rsidR="0013473A">
              <w:rPr>
                <w:sz w:val="18"/>
                <w:szCs w:val="18"/>
              </w:rPr>
              <w:t>5</w:t>
            </w:r>
            <w:r w:rsidRPr="006665C1">
              <w:rPr>
                <w:sz w:val="18"/>
                <w:szCs w:val="18"/>
              </w:rPr>
              <w:t>%</w:t>
            </w:r>
          </w:p>
        </w:tc>
      </w:tr>
      <w:tr w:rsidR="005F15E1" w14:paraId="22E6FB2D"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53E271DC" w14:textId="4E328318" w:rsidR="005F15E1" w:rsidRDefault="005F15E1" w:rsidP="00957E17">
            <w:pPr>
              <w:spacing w:line="276" w:lineRule="auto"/>
              <w:jc w:val="center"/>
              <w:rPr>
                <w:b/>
                <w:bCs/>
                <w:sz w:val="18"/>
                <w:szCs w:val="18"/>
              </w:rPr>
            </w:pPr>
            <w:r>
              <w:rPr>
                <w:b/>
                <w:bCs/>
                <w:sz w:val="18"/>
                <w:szCs w:val="18"/>
              </w:rPr>
              <w:t>2025</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136EB20" w14:textId="4791DB02" w:rsidR="005F15E1" w:rsidRPr="006665C1" w:rsidRDefault="00CB792E" w:rsidP="00957E17">
            <w:pPr>
              <w:spacing w:line="276" w:lineRule="auto"/>
              <w:jc w:val="center"/>
              <w:rPr>
                <w:sz w:val="18"/>
                <w:szCs w:val="18"/>
              </w:rPr>
            </w:pPr>
            <w:r w:rsidRPr="006665C1">
              <w:rPr>
                <w:sz w:val="18"/>
                <w:szCs w:val="18"/>
              </w:rPr>
              <w:t>3</w:t>
            </w:r>
            <w:r w:rsidR="0013473A">
              <w:rPr>
                <w:sz w:val="18"/>
                <w:szCs w:val="18"/>
              </w:rPr>
              <w:t>9</w:t>
            </w:r>
            <w:r w:rsidRPr="006665C1">
              <w:rPr>
                <w:sz w:val="18"/>
                <w:szCs w:val="18"/>
              </w:rPr>
              <w:t>%</w:t>
            </w:r>
          </w:p>
        </w:tc>
      </w:tr>
      <w:tr w:rsidR="005F15E1" w14:paraId="11EA9848"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702C81B4" w14:textId="1E0CD374" w:rsidR="005F15E1" w:rsidRDefault="005F15E1" w:rsidP="00957E17">
            <w:pPr>
              <w:spacing w:line="276" w:lineRule="auto"/>
              <w:jc w:val="center"/>
              <w:rPr>
                <w:b/>
                <w:bCs/>
                <w:sz w:val="18"/>
                <w:szCs w:val="18"/>
              </w:rPr>
            </w:pPr>
            <w:r>
              <w:rPr>
                <w:b/>
                <w:bCs/>
                <w:sz w:val="18"/>
                <w:szCs w:val="18"/>
              </w:rPr>
              <w:t>2026</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678C355" w14:textId="4D903212" w:rsidR="005F15E1" w:rsidRPr="006665C1" w:rsidRDefault="00CE095B" w:rsidP="00957E17">
            <w:pPr>
              <w:spacing w:line="276" w:lineRule="auto"/>
              <w:jc w:val="center"/>
              <w:rPr>
                <w:sz w:val="18"/>
                <w:szCs w:val="18"/>
              </w:rPr>
            </w:pPr>
            <w:r>
              <w:rPr>
                <w:sz w:val="18"/>
                <w:szCs w:val="18"/>
              </w:rPr>
              <w:t>45</w:t>
            </w:r>
            <w:r w:rsidR="00CB792E" w:rsidRPr="006665C1">
              <w:rPr>
                <w:sz w:val="18"/>
                <w:szCs w:val="18"/>
              </w:rPr>
              <w:t>%</w:t>
            </w:r>
          </w:p>
        </w:tc>
      </w:tr>
      <w:tr w:rsidR="005F15E1" w14:paraId="35D73BA9" w14:textId="77777777">
        <w:trPr>
          <w:trHeight w:val="283"/>
        </w:trPr>
        <w:tc>
          <w:tcPr>
            <w:tcW w:w="5194" w:type="dxa"/>
            <w:tcBorders>
              <w:top w:val="single" w:sz="36" w:space="0" w:color="FFFFFF" w:themeColor="background1"/>
              <w:bottom w:val="single" w:sz="36" w:space="0" w:color="FFFFFF" w:themeColor="background1"/>
            </w:tcBorders>
            <w:shd w:val="clear" w:color="auto" w:fill="F2F2F2" w:themeFill="background1" w:themeFillShade="F2"/>
          </w:tcPr>
          <w:p w14:paraId="112510B8" w14:textId="7DD96581" w:rsidR="005F15E1" w:rsidRDefault="005F15E1" w:rsidP="00957E17">
            <w:pPr>
              <w:spacing w:line="276" w:lineRule="auto"/>
              <w:jc w:val="center"/>
              <w:rPr>
                <w:b/>
                <w:bCs/>
                <w:sz w:val="18"/>
                <w:szCs w:val="18"/>
              </w:rPr>
            </w:pPr>
            <w:r>
              <w:rPr>
                <w:b/>
                <w:bCs/>
                <w:sz w:val="18"/>
                <w:szCs w:val="18"/>
              </w:rPr>
              <w:t>2027</w:t>
            </w:r>
          </w:p>
        </w:tc>
        <w:tc>
          <w:tcPr>
            <w:tcW w:w="4122"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55FF150B" w14:textId="16B9DFA0" w:rsidR="005F15E1" w:rsidRPr="006665C1" w:rsidRDefault="00CE095B" w:rsidP="00957E17">
            <w:pPr>
              <w:spacing w:line="276" w:lineRule="auto"/>
              <w:jc w:val="center"/>
              <w:rPr>
                <w:sz w:val="18"/>
                <w:szCs w:val="18"/>
              </w:rPr>
            </w:pPr>
            <w:r>
              <w:rPr>
                <w:sz w:val="18"/>
                <w:szCs w:val="18"/>
              </w:rPr>
              <w:t>52</w:t>
            </w:r>
            <w:r w:rsidR="00CB792E" w:rsidRPr="006665C1">
              <w:rPr>
                <w:sz w:val="18"/>
                <w:szCs w:val="18"/>
              </w:rPr>
              <w:t>%</w:t>
            </w:r>
          </w:p>
        </w:tc>
      </w:tr>
    </w:tbl>
    <w:p w14:paraId="4F609F52" w14:textId="77777777" w:rsidR="00641D36" w:rsidRPr="00AB1687" w:rsidRDefault="00641D36" w:rsidP="00B052A5"/>
    <w:p w14:paraId="30B52760" w14:textId="77777777" w:rsidR="009E5008" w:rsidRDefault="009E5008" w:rsidP="003F4B28">
      <w:pPr>
        <w:pStyle w:val="Kop3"/>
      </w:pPr>
      <w:bookmarkStart w:id="112" w:name="_Toc142472137"/>
      <w:bookmarkStart w:id="113" w:name="_Toc118736247"/>
      <w:r>
        <w:t>Subdoelstellingen</w:t>
      </w:r>
      <w:bookmarkEnd w:id="112"/>
      <w:r w:rsidR="00C81EEB">
        <w:t xml:space="preserve"> </w:t>
      </w:r>
      <w:bookmarkEnd w:id="113"/>
    </w:p>
    <w:p w14:paraId="6AB48DC7" w14:textId="77777777" w:rsidR="00BD10F1" w:rsidRDefault="00BD10F1" w:rsidP="008E321A">
      <w:pPr>
        <w:rPr>
          <w:color w:val="ED7D31" w:themeColor="accent2"/>
        </w:rPr>
      </w:pPr>
    </w:p>
    <w:p w14:paraId="218CD254" w14:textId="0952FE61" w:rsidR="0092372E" w:rsidRPr="00452503" w:rsidRDefault="006F325B" w:rsidP="0092372E">
      <w:pPr>
        <w:rPr>
          <w:b/>
          <w:bCs/>
        </w:rPr>
      </w:pPr>
      <w:r>
        <w:t>Onder</w:t>
      </w:r>
      <w:r w:rsidR="1062DCCE">
        <w:t>staande tabel laat per subdoelstelling de voortgang</w:t>
      </w:r>
      <w:r w:rsidR="00E71564">
        <w:t xml:space="preserve"> in CO2-reductie</w:t>
      </w:r>
      <w:r w:rsidR="1062DCCE">
        <w:t xml:space="preserve"> zien in 202</w:t>
      </w:r>
      <w:r w:rsidR="61073F4A">
        <w:t>7</w:t>
      </w:r>
      <w:r w:rsidR="1062DCCE">
        <w:t xml:space="preserve"> ten opzichte van het referentiejaar 2017</w:t>
      </w:r>
      <w:r w:rsidR="00E71564">
        <w:t>, gerelateerd aan de omzet</w:t>
      </w:r>
      <w:r w:rsidR="1062DCCE">
        <w:t>.</w:t>
      </w:r>
    </w:p>
    <w:p w14:paraId="3BA82076" w14:textId="73F91952" w:rsidR="009B5521" w:rsidRPr="00C622C8" w:rsidRDefault="009B5521" w:rsidP="008E321A">
      <w:pPr>
        <w:rPr>
          <w:b/>
          <w:bCs/>
        </w:rPr>
      </w:pPr>
      <w:r w:rsidRPr="00C622C8">
        <w:rPr>
          <w:b/>
          <w:bCs/>
        </w:rPr>
        <w:t xml:space="preserve"> </w:t>
      </w:r>
    </w:p>
    <w:tbl>
      <w:tblPr>
        <w:tblStyle w:val="Tabelraster"/>
        <w:tblW w:w="8987"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4061"/>
        <w:gridCol w:w="2630"/>
        <w:gridCol w:w="2296"/>
      </w:tblGrid>
      <w:tr w:rsidR="00DB7454" w:rsidRPr="00C622C8" w14:paraId="245A16EF" w14:textId="7036DFAA" w:rsidTr="00DB7454">
        <w:trPr>
          <w:trHeight w:val="425"/>
        </w:trPr>
        <w:tc>
          <w:tcPr>
            <w:tcW w:w="6691"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6BBE93"/>
            <w:vAlign w:val="center"/>
          </w:tcPr>
          <w:p w14:paraId="788513EB" w14:textId="35178247" w:rsidR="00DB7454" w:rsidRPr="00C622C8" w:rsidRDefault="00DB7454" w:rsidP="0087707B">
            <w:pPr>
              <w:spacing w:line="276" w:lineRule="auto"/>
              <w:jc w:val="center"/>
              <w:rPr>
                <w:b/>
                <w:caps/>
                <w:szCs w:val="20"/>
              </w:rPr>
            </w:pPr>
            <w:r w:rsidRPr="00C622C8">
              <w:rPr>
                <w:b/>
                <w:caps/>
                <w:szCs w:val="20"/>
              </w:rPr>
              <w:t>Subdoelstellingen</w:t>
            </w:r>
            <w:r w:rsidR="008963B1">
              <w:rPr>
                <w:b/>
                <w:caps/>
                <w:szCs w:val="20"/>
              </w:rPr>
              <w:t xml:space="preserve"> (reductie)</w:t>
            </w:r>
          </w:p>
        </w:tc>
        <w:tc>
          <w:tcPr>
            <w:tcW w:w="229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6BBE93"/>
          </w:tcPr>
          <w:p w14:paraId="042F76AC" w14:textId="77777777" w:rsidR="00DB7454" w:rsidRPr="00C622C8" w:rsidRDefault="00DB7454" w:rsidP="0087707B">
            <w:pPr>
              <w:spacing w:line="276" w:lineRule="auto"/>
              <w:jc w:val="center"/>
              <w:rPr>
                <w:b/>
                <w:caps/>
                <w:szCs w:val="20"/>
              </w:rPr>
            </w:pPr>
          </w:p>
        </w:tc>
      </w:tr>
      <w:tr w:rsidR="00DB7454" w:rsidRPr="00C622C8" w14:paraId="534AEA46" w14:textId="64B8F543" w:rsidTr="00DB7454">
        <w:trPr>
          <w:trHeight w:val="286"/>
        </w:trPr>
        <w:tc>
          <w:tcPr>
            <w:tcW w:w="4061"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14:paraId="2F2E8C57" w14:textId="77777777" w:rsidR="00DB7454" w:rsidRPr="00C622C8" w:rsidRDefault="00DB7454" w:rsidP="0087707B">
            <w:pPr>
              <w:spacing w:line="276" w:lineRule="auto"/>
              <w:jc w:val="center"/>
              <w:rPr>
                <w:b/>
                <w:caps/>
                <w:szCs w:val="20"/>
              </w:rPr>
            </w:pPr>
          </w:p>
        </w:tc>
        <w:tc>
          <w:tcPr>
            <w:tcW w:w="2630"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vAlign w:val="center"/>
          </w:tcPr>
          <w:p w14:paraId="27CAC451" w14:textId="77777777" w:rsidR="00DB7454" w:rsidRPr="00C622C8" w:rsidRDefault="00DB7454" w:rsidP="0087707B">
            <w:pPr>
              <w:spacing w:line="276" w:lineRule="auto"/>
              <w:jc w:val="center"/>
              <w:rPr>
                <w:b/>
                <w:caps/>
                <w:szCs w:val="20"/>
              </w:rPr>
            </w:pPr>
            <w:r w:rsidRPr="00C622C8">
              <w:rPr>
                <w:b/>
                <w:caps/>
                <w:szCs w:val="20"/>
              </w:rPr>
              <w:t>DOELSTELLING</w:t>
            </w:r>
          </w:p>
        </w:tc>
        <w:tc>
          <w:tcPr>
            <w:tcW w:w="229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FBFBF" w:themeFill="background1" w:themeFillShade="BF"/>
          </w:tcPr>
          <w:p w14:paraId="26A5F2BE" w14:textId="3E71E144" w:rsidR="00DB7454" w:rsidRPr="00C622C8" w:rsidRDefault="00DB7454" w:rsidP="0087707B">
            <w:pPr>
              <w:spacing w:line="276" w:lineRule="auto"/>
              <w:jc w:val="center"/>
              <w:rPr>
                <w:b/>
                <w:caps/>
                <w:szCs w:val="20"/>
              </w:rPr>
            </w:pPr>
            <w:r>
              <w:rPr>
                <w:b/>
                <w:caps/>
                <w:szCs w:val="20"/>
              </w:rPr>
              <w:t>Voortgang</w:t>
            </w:r>
          </w:p>
        </w:tc>
      </w:tr>
      <w:tr w:rsidR="00DB7454" w:rsidRPr="00C622C8" w14:paraId="58AB246B" w14:textId="14555A34" w:rsidTr="00DB7454">
        <w:trPr>
          <w:trHeight w:val="283"/>
        </w:trPr>
        <w:tc>
          <w:tcPr>
            <w:tcW w:w="4061"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C0A6601" w14:textId="77777777" w:rsidR="00DB7454" w:rsidRPr="00C622C8" w:rsidRDefault="00DB7454" w:rsidP="0087707B">
            <w:pPr>
              <w:spacing w:line="276" w:lineRule="auto"/>
              <w:jc w:val="center"/>
              <w:rPr>
                <w:b/>
                <w:bCs/>
                <w:sz w:val="18"/>
                <w:szCs w:val="18"/>
              </w:rPr>
            </w:pPr>
            <w:r w:rsidRPr="00C622C8">
              <w:rPr>
                <w:b/>
                <w:bCs/>
                <w:sz w:val="18"/>
                <w:szCs w:val="18"/>
              </w:rPr>
              <w:t>Scope 1</w:t>
            </w:r>
          </w:p>
        </w:tc>
        <w:tc>
          <w:tcPr>
            <w:tcW w:w="263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5F827C1" w14:textId="7959BB92" w:rsidR="00DB7454" w:rsidRPr="00C622C8" w:rsidRDefault="0082248D" w:rsidP="0087707B">
            <w:pPr>
              <w:spacing w:line="276" w:lineRule="auto"/>
              <w:jc w:val="center"/>
              <w:rPr>
                <w:sz w:val="18"/>
                <w:szCs w:val="18"/>
              </w:rPr>
            </w:pPr>
            <w:r>
              <w:rPr>
                <w:sz w:val="18"/>
                <w:szCs w:val="18"/>
              </w:rPr>
              <w:t>-</w:t>
            </w:r>
            <w:r w:rsidR="00DB7454" w:rsidRPr="00C622C8">
              <w:rPr>
                <w:sz w:val="18"/>
                <w:szCs w:val="18"/>
              </w:rPr>
              <w:t>69%</w:t>
            </w:r>
          </w:p>
        </w:tc>
        <w:tc>
          <w:tcPr>
            <w:tcW w:w="2296" w:type="dxa"/>
            <w:tcBorders>
              <w:top w:val="single" w:sz="36" w:space="0" w:color="FFFFFF" w:themeColor="background1"/>
              <w:bottom w:val="single" w:sz="36" w:space="0" w:color="FFFFFF" w:themeColor="background1"/>
            </w:tcBorders>
            <w:shd w:val="clear" w:color="auto" w:fill="F2F2F2" w:themeFill="background1" w:themeFillShade="F2"/>
          </w:tcPr>
          <w:p w14:paraId="2972310B" w14:textId="1987E19C" w:rsidR="00DB7454" w:rsidRPr="008D4E12" w:rsidRDefault="0082248D" w:rsidP="008D4E12">
            <w:pPr>
              <w:jc w:val="center"/>
              <w:rPr>
                <w:rFonts w:cs="Arial"/>
                <w:color w:val="000000"/>
                <w:szCs w:val="19"/>
              </w:rPr>
            </w:pPr>
            <w:r>
              <w:rPr>
                <w:rFonts w:cs="Arial"/>
                <w:color w:val="000000"/>
                <w:szCs w:val="19"/>
              </w:rPr>
              <w:t>-</w:t>
            </w:r>
            <w:r w:rsidR="008963B1">
              <w:rPr>
                <w:rFonts w:cs="Arial"/>
                <w:color w:val="000000"/>
                <w:szCs w:val="19"/>
              </w:rPr>
              <w:t>31</w:t>
            </w:r>
            <w:r w:rsidR="00AE70CB">
              <w:rPr>
                <w:rFonts w:cs="Arial"/>
                <w:color w:val="000000"/>
                <w:szCs w:val="19"/>
              </w:rPr>
              <w:t>%</w:t>
            </w:r>
          </w:p>
        </w:tc>
      </w:tr>
      <w:tr w:rsidR="00DB7454" w:rsidRPr="00C622C8" w14:paraId="403E9FFE" w14:textId="3E5A6F43" w:rsidTr="00DB7454">
        <w:trPr>
          <w:trHeight w:val="283"/>
        </w:trPr>
        <w:tc>
          <w:tcPr>
            <w:tcW w:w="4061"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8A0F7C3" w14:textId="77777777" w:rsidR="00DB7454" w:rsidRPr="00C622C8" w:rsidRDefault="00DB7454" w:rsidP="0087707B">
            <w:pPr>
              <w:spacing w:line="276" w:lineRule="auto"/>
              <w:jc w:val="center"/>
              <w:rPr>
                <w:b/>
                <w:bCs/>
                <w:sz w:val="18"/>
                <w:szCs w:val="18"/>
              </w:rPr>
            </w:pPr>
            <w:r w:rsidRPr="00C622C8">
              <w:rPr>
                <w:b/>
                <w:bCs/>
                <w:sz w:val="18"/>
                <w:szCs w:val="18"/>
              </w:rPr>
              <w:t>Scope 2</w:t>
            </w:r>
          </w:p>
        </w:tc>
        <w:tc>
          <w:tcPr>
            <w:tcW w:w="263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124DB3FB" w14:textId="0F318220" w:rsidR="00DB7454" w:rsidRPr="00C622C8" w:rsidRDefault="0082248D" w:rsidP="0087707B">
            <w:pPr>
              <w:spacing w:line="276" w:lineRule="auto"/>
              <w:jc w:val="center"/>
              <w:rPr>
                <w:sz w:val="18"/>
                <w:szCs w:val="18"/>
              </w:rPr>
            </w:pPr>
            <w:r>
              <w:rPr>
                <w:sz w:val="18"/>
                <w:szCs w:val="18"/>
              </w:rPr>
              <w:t>-</w:t>
            </w:r>
            <w:r w:rsidR="00DB7454" w:rsidRPr="00C622C8">
              <w:rPr>
                <w:sz w:val="18"/>
                <w:szCs w:val="18"/>
              </w:rPr>
              <w:t>90%</w:t>
            </w:r>
          </w:p>
        </w:tc>
        <w:tc>
          <w:tcPr>
            <w:tcW w:w="2296" w:type="dxa"/>
            <w:tcBorders>
              <w:top w:val="single" w:sz="36" w:space="0" w:color="FFFFFF" w:themeColor="background1"/>
              <w:bottom w:val="single" w:sz="36" w:space="0" w:color="FFFFFF" w:themeColor="background1"/>
            </w:tcBorders>
            <w:shd w:val="clear" w:color="auto" w:fill="F2F2F2" w:themeFill="background1" w:themeFillShade="F2"/>
          </w:tcPr>
          <w:p w14:paraId="2E6B2FD6" w14:textId="58C1AFF3" w:rsidR="00DB7454" w:rsidRPr="00EB7CB6" w:rsidRDefault="0082248D" w:rsidP="00EB7CB6">
            <w:pPr>
              <w:jc w:val="center"/>
              <w:rPr>
                <w:rFonts w:cs="Arial"/>
                <w:color w:val="000000"/>
                <w:szCs w:val="19"/>
              </w:rPr>
            </w:pPr>
            <w:r>
              <w:rPr>
                <w:rFonts w:cs="Arial"/>
                <w:color w:val="000000"/>
                <w:szCs w:val="19"/>
              </w:rPr>
              <w:t>-</w:t>
            </w:r>
            <w:r w:rsidR="008963B1">
              <w:rPr>
                <w:rFonts w:cs="Arial"/>
                <w:color w:val="000000"/>
                <w:szCs w:val="19"/>
              </w:rPr>
              <w:t>71</w:t>
            </w:r>
            <w:r w:rsidR="00452210">
              <w:rPr>
                <w:rFonts w:cs="Arial"/>
                <w:color w:val="000000"/>
                <w:szCs w:val="19"/>
              </w:rPr>
              <w:t>%</w:t>
            </w:r>
          </w:p>
        </w:tc>
      </w:tr>
      <w:tr w:rsidR="00DB7454" w:rsidRPr="00C622C8" w14:paraId="47220942" w14:textId="61148BA0" w:rsidTr="00DB7454">
        <w:trPr>
          <w:trHeight w:val="283"/>
        </w:trPr>
        <w:tc>
          <w:tcPr>
            <w:tcW w:w="4061"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3D8CBA73" w14:textId="77777777" w:rsidR="00DB7454" w:rsidRPr="00C622C8" w:rsidRDefault="00DB7454" w:rsidP="0087707B">
            <w:pPr>
              <w:spacing w:line="276" w:lineRule="auto"/>
              <w:jc w:val="center"/>
              <w:rPr>
                <w:b/>
                <w:bCs/>
                <w:sz w:val="18"/>
                <w:szCs w:val="18"/>
              </w:rPr>
            </w:pPr>
            <w:r w:rsidRPr="00C622C8">
              <w:rPr>
                <w:b/>
                <w:bCs/>
                <w:sz w:val="18"/>
                <w:szCs w:val="18"/>
              </w:rPr>
              <w:t>Business travel</w:t>
            </w:r>
          </w:p>
        </w:tc>
        <w:tc>
          <w:tcPr>
            <w:tcW w:w="263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5AD9AC30" w14:textId="0CE6D978" w:rsidR="00DB7454" w:rsidRPr="00C622C8" w:rsidRDefault="0082248D" w:rsidP="0087707B">
            <w:pPr>
              <w:spacing w:line="276" w:lineRule="auto"/>
              <w:jc w:val="center"/>
              <w:rPr>
                <w:sz w:val="18"/>
                <w:szCs w:val="18"/>
              </w:rPr>
            </w:pPr>
            <w:r>
              <w:rPr>
                <w:sz w:val="18"/>
                <w:szCs w:val="18"/>
              </w:rPr>
              <w:t>-</w:t>
            </w:r>
            <w:r w:rsidR="00DB7454" w:rsidRPr="00C622C8">
              <w:rPr>
                <w:sz w:val="18"/>
                <w:szCs w:val="18"/>
              </w:rPr>
              <w:t>1%</w:t>
            </w:r>
          </w:p>
        </w:tc>
        <w:tc>
          <w:tcPr>
            <w:tcW w:w="2296" w:type="dxa"/>
            <w:tcBorders>
              <w:top w:val="single" w:sz="36" w:space="0" w:color="FFFFFF" w:themeColor="background1"/>
              <w:bottom w:val="single" w:sz="36" w:space="0" w:color="FFFFFF" w:themeColor="background1"/>
            </w:tcBorders>
            <w:shd w:val="clear" w:color="auto" w:fill="F2F2F2" w:themeFill="background1" w:themeFillShade="F2"/>
          </w:tcPr>
          <w:p w14:paraId="6C3D6B17" w14:textId="7E247C4E" w:rsidR="00DB7454" w:rsidRPr="00C622C8" w:rsidRDefault="0082248D" w:rsidP="0087707B">
            <w:pPr>
              <w:spacing w:line="276" w:lineRule="auto"/>
              <w:jc w:val="center"/>
              <w:rPr>
                <w:sz w:val="18"/>
                <w:szCs w:val="18"/>
              </w:rPr>
            </w:pPr>
            <w:r>
              <w:rPr>
                <w:sz w:val="18"/>
                <w:szCs w:val="18"/>
              </w:rPr>
              <w:t>-77</w:t>
            </w:r>
            <w:r w:rsidR="002B7279">
              <w:rPr>
                <w:sz w:val="18"/>
                <w:szCs w:val="18"/>
              </w:rPr>
              <w:t>%</w:t>
            </w:r>
          </w:p>
        </w:tc>
      </w:tr>
      <w:tr w:rsidR="00DB7454" w:rsidRPr="00C622C8" w14:paraId="3AEAF03F" w14:textId="77C2B3B6" w:rsidTr="00DB7454">
        <w:trPr>
          <w:trHeight w:val="283"/>
        </w:trPr>
        <w:tc>
          <w:tcPr>
            <w:tcW w:w="4061"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FCA0E33" w14:textId="77777777" w:rsidR="00DB7454" w:rsidRPr="00C622C8" w:rsidRDefault="00DB7454" w:rsidP="0087707B">
            <w:pPr>
              <w:spacing w:line="276" w:lineRule="auto"/>
              <w:jc w:val="center"/>
              <w:rPr>
                <w:b/>
                <w:bCs/>
                <w:sz w:val="18"/>
                <w:szCs w:val="18"/>
              </w:rPr>
            </w:pPr>
            <w:r w:rsidRPr="00C622C8">
              <w:rPr>
                <w:b/>
                <w:bCs/>
                <w:sz w:val="18"/>
                <w:szCs w:val="18"/>
              </w:rPr>
              <w:t>Energieverbruik</w:t>
            </w:r>
          </w:p>
        </w:tc>
        <w:tc>
          <w:tcPr>
            <w:tcW w:w="2630"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058FC9F2" w14:textId="027DC7DA" w:rsidR="00DB7454" w:rsidRPr="00C622C8" w:rsidRDefault="0082248D" w:rsidP="0087707B">
            <w:pPr>
              <w:spacing w:line="276" w:lineRule="auto"/>
              <w:jc w:val="center"/>
              <w:rPr>
                <w:sz w:val="18"/>
                <w:szCs w:val="18"/>
              </w:rPr>
            </w:pPr>
            <w:r>
              <w:rPr>
                <w:sz w:val="18"/>
                <w:szCs w:val="18"/>
              </w:rPr>
              <w:t>-</w:t>
            </w:r>
            <w:r w:rsidR="00DB7454" w:rsidRPr="00C622C8">
              <w:rPr>
                <w:sz w:val="18"/>
                <w:szCs w:val="18"/>
              </w:rPr>
              <w:t>17%</w:t>
            </w:r>
          </w:p>
        </w:tc>
        <w:tc>
          <w:tcPr>
            <w:tcW w:w="2296" w:type="dxa"/>
            <w:tcBorders>
              <w:top w:val="single" w:sz="36" w:space="0" w:color="FFFFFF" w:themeColor="background1"/>
              <w:bottom w:val="single" w:sz="36" w:space="0" w:color="FFFFFF" w:themeColor="background1"/>
            </w:tcBorders>
            <w:shd w:val="clear" w:color="auto" w:fill="F2F2F2" w:themeFill="background1" w:themeFillShade="F2"/>
          </w:tcPr>
          <w:p w14:paraId="0375502C" w14:textId="3D82A0D3" w:rsidR="001F1FA3" w:rsidRPr="00C622C8" w:rsidRDefault="001F1FA3" w:rsidP="00E71564">
            <w:pPr>
              <w:spacing w:line="276" w:lineRule="auto"/>
              <w:jc w:val="center"/>
              <w:rPr>
                <w:sz w:val="18"/>
                <w:szCs w:val="18"/>
              </w:rPr>
            </w:pPr>
            <w:r>
              <w:rPr>
                <w:sz w:val="18"/>
                <w:szCs w:val="18"/>
              </w:rPr>
              <w:t>4%</w:t>
            </w:r>
          </w:p>
        </w:tc>
      </w:tr>
    </w:tbl>
    <w:p w14:paraId="5F61F4D4" w14:textId="77777777" w:rsidR="009B5521" w:rsidRDefault="009B5521" w:rsidP="008E321A">
      <w:pPr>
        <w:rPr>
          <w:b/>
          <w:bCs/>
          <w:color w:val="FF0000"/>
        </w:rPr>
      </w:pPr>
    </w:p>
    <w:p w14:paraId="6C264BD9" w14:textId="2BE92592" w:rsidR="005C55B1" w:rsidRPr="005C55B1" w:rsidRDefault="005C55B1" w:rsidP="005C55B1">
      <w:pPr>
        <w:rPr>
          <w:b/>
          <w:bCs/>
          <w:color w:val="000000" w:themeColor="text1"/>
        </w:rPr>
      </w:pPr>
      <w:r w:rsidRPr="005C55B1">
        <w:rPr>
          <w:b/>
          <w:bCs/>
          <w:color w:val="000000" w:themeColor="text1"/>
        </w:rPr>
        <w:t>Scope 1</w:t>
      </w:r>
    </w:p>
    <w:p w14:paraId="117DFA9D" w14:textId="5BA372E2" w:rsidR="006C2EBD" w:rsidRPr="005C55B1" w:rsidRDefault="005C55B1" w:rsidP="005C55B1">
      <w:pPr>
        <w:rPr>
          <w:color w:val="000000" w:themeColor="text1"/>
        </w:rPr>
      </w:pPr>
      <w:r w:rsidRPr="005C55B1">
        <w:rPr>
          <w:color w:val="000000" w:themeColor="text1"/>
        </w:rPr>
        <w:t xml:space="preserve">Voor de scope 1-emissies nam de uitstoot toe met 6% tussen 2017 en 2019. Tussen 2019 en 2020 werd aanzienlijk gereduceerd, met name het brandstofverbruik is flink gedaald. Deze reductie is vooral te danken aan zuinig rijden, aanschaf van meer zuinige wagens en minder gasverbruik. Echter was de verwachting om in de jaren 2021 en 2022 verder te reduceren (resp. 13% en 17%), wat in de praktijk niet haalbaar bleek. In 2023 en 2024 nam de uitstoot verder af. In 2024 was de relatieve CO2-reductie voor scope 1 </w:t>
      </w:r>
      <w:r w:rsidR="00477BCD">
        <w:rPr>
          <w:color w:val="000000" w:themeColor="text1"/>
        </w:rPr>
        <w:t>3</w:t>
      </w:r>
      <w:r w:rsidRPr="005C55B1">
        <w:rPr>
          <w:color w:val="000000" w:themeColor="text1"/>
        </w:rPr>
        <w:t>1% ten opzichte van 2024.</w:t>
      </w:r>
      <w:r w:rsidR="00D27524">
        <w:rPr>
          <w:color w:val="000000" w:themeColor="text1"/>
        </w:rPr>
        <w:t xml:space="preserve"> </w:t>
      </w:r>
    </w:p>
    <w:p w14:paraId="1E1B4FD7" w14:textId="77777777" w:rsidR="006C2EBD" w:rsidRPr="005C55B1" w:rsidRDefault="006C2EBD" w:rsidP="006C2EBD">
      <w:pPr>
        <w:rPr>
          <w:b/>
          <w:bCs/>
          <w:color w:val="000000" w:themeColor="text1"/>
        </w:rPr>
      </w:pPr>
    </w:p>
    <w:p w14:paraId="744056D9" w14:textId="022EA641" w:rsidR="006C2EBD" w:rsidRPr="005C55B1" w:rsidRDefault="006C2EBD" w:rsidP="006C2EBD">
      <w:pPr>
        <w:rPr>
          <w:b/>
          <w:bCs/>
          <w:color w:val="000000" w:themeColor="text1"/>
        </w:rPr>
      </w:pPr>
      <w:r w:rsidRPr="005C55B1">
        <w:rPr>
          <w:b/>
          <w:bCs/>
          <w:color w:val="000000" w:themeColor="text1"/>
        </w:rPr>
        <w:t>Scope 2</w:t>
      </w:r>
    </w:p>
    <w:p w14:paraId="7193FF55" w14:textId="38B46890" w:rsidR="006C2EBD" w:rsidRDefault="006C2EBD" w:rsidP="006C2EBD">
      <w:pPr>
        <w:rPr>
          <w:color w:val="000000" w:themeColor="text1"/>
        </w:rPr>
      </w:pPr>
      <w:r w:rsidRPr="005C55B1">
        <w:rPr>
          <w:color w:val="000000" w:themeColor="text1"/>
        </w:rPr>
        <w:t>Voor de scope 2-emissies is de doelstelling in 2027 t.o.v. 2017 90% CO2 gereduceerd te hebben. De doelstelling is gerelateerd aan de omzet. Tussen 2017 en 2023 is de indirecte uitstoot afgenomen met 93%, met name door het overstappen op groene stroom. In 2024 namen de emissies echter weer toe ten opzichte van het jaar ervoor. Dit komt door het overstappen op elektrische wagens, die geen scope 1</w:t>
      </w:r>
      <w:r w:rsidRPr="00871710">
        <w:rPr>
          <w:color w:val="000000" w:themeColor="text1"/>
        </w:rPr>
        <w:t xml:space="preserve">-, maar scope 2-emissies veroorzaken. De scope 2-reductie ten opzichte van 2017 is hierdoor nog </w:t>
      </w:r>
      <w:r w:rsidR="00B4729A">
        <w:rPr>
          <w:color w:val="000000" w:themeColor="text1"/>
        </w:rPr>
        <w:t>'</w:t>
      </w:r>
      <w:r w:rsidR="005C55B1" w:rsidRPr="00871710">
        <w:rPr>
          <w:color w:val="000000" w:themeColor="text1"/>
        </w:rPr>
        <w:t>m</w:t>
      </w:r>
      <w:r w:rsidRPr="00871710">
        <w:rPr>
          <w:color w:val="000000" w:themeColor="text1"/>
        </w:rPr>
        <w:t>aar’ 71%.</w:t>
      </w:r>
    </w:p>
    <w:p w14:paraId="1051F0E8" w14:textId="77777777" w:rsidR="00A01B77" w:rsidRDefault="00A01B77" w:rsidP="006C2EBD">
      <w:pPr>
        <w:rPr>
          <w:color w:val="000000" w:themeColor="text1"/>
        </w:rPr>
      </w:pPr>
    </w:p>
    <w:p w14:paraId="65978F25" w14:textId="4CA7EC5D" w:rsidR="00A01B77" w:rsidRPr="00A01B77" w:rsidRDefault="009043B6" w:rsidP="006C2EBD">
      <w:pPr>
        <w:rPr>
          <w:b/>
          <w:bCs/>
          <w:color w:val="000000" w:themeColor="text1"/>
        </w:rPr>
      </w:pPr>
      <w:r>
        <w:rPr>
          <w:b/>
          <w:bCs/>
          <w:color w:val="000000" w:themeColor="text1"/>
        </w:rPr>
        <w:lastRenderedPageBreak/>
        <w:t>Business travel</w:t>
      </w:r>
    </w:p>
    <w:p w14:paraId="769ABAE1" w14:textId="7E760929" w:rsidR="001A399C" w:rsidRPr="00C856F0" w:rsidRDefault="00875953" w:rsidP="006C2EBD">
      <w:r w:rsidRPr="00C856F0">
        <w:t xml:space="preserve">De doelstelling voor het zakelijk vervoer </w:t>
      </w:r>
      <w:r w:rsidR="00814D05" w:rsidRPr="00C856F0">
        <w:t xml:space="preserve">was </w:t>
      </w:r>
      <w:r w:rsidR="00BA1AD4" w:rsidRPr="00C856F0">
        <w:t xml:space="preserve">om de uitstoot nagenoeg gelijk te houden, met een reductie van 1%. </w:t>
      </w:r>
      <w:r w:rsidR="002165BE" w:rsidRPr="00C856F0">
        <w:t>De reductie</w:t>
      </w:r>
      <w:r w:rsidR="002D7A03" w:rsidRPr="00C856F0">
        <w:t xml:space="preserve"> in 2024</w:t>
      </w:r>
      <w:r w:rsidR="002165BE" w:rsidRPr="00C856F0">
        <w:t xml:space="preserve"> is echter veel hoger uitge</w:t>
      </w:r>
      <w:r w:rsidR="00E90290" w:rsidRPr="00C856F0">
        <w:t>v</w:t>
      </w:r>
      <w:r w:rsidR="002165BE" w:rsidRPr="00C856F0">
        <w:t>allen</w:t>
      </w:r>
      <w:r w:rsidR="00E90290" w:rsidRPr="00C856F0">
        <w:t>, namelijk wel 77%.</w:t>
      </w:r>
      <w:r w:rsidR="00FF464C" w:rsidRPr="00C856F0">
        <w:t xml:space="preserve"> Er is</w:t>
      </w:r>
      <w:r w:rsidR="002D7A03" w:rsidRPr="00C856F0">
        <w:t xml:space="preserve"> vooral</w:t>
      </w:r>
      <w:r w:rsidR="00FF464C" w:rsidRPr="00C856F0">
        <w:t xml:space="preserve"> een groot verschil </w:t>
      </w:r>
      <w:r w:rsidR="002D7A03" w:rsidRPr="00C856F0">
        <w:t xml:space="preserve">met de gemeten uitstoot van 2023, </w:t>
      </w:r>
      <w:r w:rsidR="003059FD" w:rsidRPr="00C856F0">
        <w:t xml:space="preserve">toen de voortgang nog 39% was ten opzichte van 2017. Een belangrijke verklaring hiervoor ligt in de verbetering van de datakwaliteit. Tot 2023 werd namelijk een </w:t>
      </w:r>
      <w:r w:rsidR="00945C87" w:rsidRPr="00C856F0">
        <w:t xml:space="preserve">indirecte </w:t>
      </w:r>
      <w:r w:rsidR="003059FD" w:rsidRPr="00C856F0">
        <w:t>berekening gebruikt op basis van een kilometervergoeding</w:t>
      </w:r>
      <w:r w:rsidR="00945C87" w:rsidRPr="00C856F0">
        <w:t>, terwijl voor 2024 de precieze kilometers bekend zijn.</w:t>
      </w:r>
      <w:r w:rsidR="00ED7834" w:rsidRPr="00C856F0">
        <w:t xml:space="preserve"> </w:t>
      </w:r>
      <w:r w:rsidR="00D95673" w:rsidRPr="00C856F0">
        <w:t>Daarnaast zijn er ook minder</w:t>
      </w:r>
      <w:r w:rsidR="00D47760" w:rsidRPr="00C856F0">
        <w:t xml:space="preserve"> zakelijke</w:t>
      </w:r>
      <w:r w:rsidR="00D95673" w:rsidRPr="00C856F0">
        <w:t xml:space="preserve"> kilometers </w:t>
      </w:r>
      <w:r w:rsidR="00D47760" w:rsidRPr="00C856F0">
        <w:t>gereden</w:t>
      </w:r>
      <w:r w:rsidR="00D95673" w:rsidRPr="00C856F0">
        <w:t xml:space="preserve"> ten opzichte van eerdere jaren.</w:t>
      </w:r>
    </w:p>
    <w:p w14:paraId="4E9CE3E6" w14:textId="77777777" w:rsidR="009043B6" w:rsidRDefault="009043B6" w:rsidP="006C2EBD">
      <w:pPr>
        <w:rPr>
          <w:b/>
          <w:bCs/>
          <w:color w:val="FF0000"/>
        </w:rPr>
      </w:pPr>
    </w:p>
    <w:p w14:paraId="5BA0CE2C" w14:textId="16EA137B" w:rsidR="00E7787F" w:rsidRPr="00F37195" w:rsidRDefault="00310CF3" w:rsidP="00F37195">
      <w:pPr>
        <w:pStyle w:val="Kop3"/>
        <w:numPr>
          <w:ilvl w:val="0"/>
          <w:numId w:val="0"/>
        </w:numPr>
        <w:ind w:left="720" w:hanging="720"/>
      </w:pPr>
      <w:r>
        <w:t>6.2.3 Doelstellingen scope 3 en voortgang</w:t>
      </w:r>
    </w:p>
    <w:p w14:paraId="7EC22910" w14:textId="1A9B8743" w:rsidR="00310CF3" w:rsidRPr="00F37195" w:rsidRDefault="00310CF3" w:rsidP="00310CF3">
      <w:pPr>
        <w:rPr>
          <w:b/>
          <w:bCs/>
        </w:rPr>
      </w:pPr>
      <w:r w:rsidRPr="00F37195">
        <w:rPr>
          <w:b/>
          <w:bCs/>
        </w:rPr>
        <w:t xml:space="preserve">Ketenanalyse – </w:t>
      </w:r>
      <w:r w:rsidR="003A52A5" w:rsidRPr="00F37195">
        <w:rPr>
          <w:b/>
          <w:bCs/>
        </w:rPr>
        <w:t>Armaturen</w:t>
      </w:r>
    </w:p>
    <w:p w14:paraId="620A5CD0" w14:textId="77777777" w:rsidR="00DE7CD9" w:rsidRPr="00F37195" w:rsidRDefault="00563B0D" w:rsidP="00310CF3">
      <w:r w:rsidRPr="00F37195">
        <w:t>CityTec</w:t>
      </w:r>
      <w:r w:rsidR="00310CF3" w:rsidRPr="00F37195">
        <w:t xml:space="preserve"> wil in 20</w:t>
      </w:r>
      <w:r w:rsidR="00AC6BDE" w:rsidRPr="00F37195">
        <w:t xml:space="preserve">28 </w:t>
      </w:r>
      <w:r w:rsidR="00AC0297" w:rsidRPr="00F37195">
        <w:t>2</w:t>
      </w:r>
      <w:r w:rsidR="00E64611" w:rsidRPr="00F37195">
        <w:t xml:space="preserve">00 ton </w:t>
      </w:r>
      <w:r w:rsidR="00310CF3" w:rsidRPr="00F37195">
        <w:t>CO</w:t>
      </w:r>
      <w:r w:rsidR="00310CF3" w:rsidRPr="00F37195">
        <w:rPr>
          <w:vertAlign w:val="subscript"/>
        </w:rPr>
        <w:t>2</w:t>
      </w:r>
      <w:r w:rsidR="00310CF3" w:rsidRPr="00F37195">
        <w:t xml:space="preserve"> reduceren ten opzichte van 20</w:t>
      </w:r>
      <w:r w:rsidR="00553C85" w:rsidRPr="00F37195">
        <w:t>23</w:t>
      </w:r>
      <w:r w:rsidR="00310CF3" w:rsidRPr="00F37195">
        <w:t xml:space="preserve"> in de keten </w:t>
      </w:r>
      <w:r w:rsidR="00DE7CD9" w:rsidRPr="00F37195">
        <w:t>‘</w:t>
      </w:r>
      <w:r w:rsidR="00553C85" w:rsidRPr="00F37195">
        <w:t>armaturen</w:t>
      </w:r>
      <w:r w:rsidR="00DE7CD9" w:rsidRPr="00F37195">
        <w:t>’</w:t>
      </w:r>
      <w:r w:rsidR="00310CF3" w:rsidRPr="00F37195">
        <w:t xml:space="preserve">. </w:t>
      </w:r>
    </w:p>
    <w:p w14:paraId="496D27FF" w14:textId="77777777" w:rsidR="00DE7CD9" w:rsidRPr="00F37195" w:rsidRDefault="00DE7CD9" w:rsidP="00310CF3"/>
    <w:p w14:paraId="79AE4C96" w14:textId="42978243" w:rsidR="00310CF3" w:rsidRPr="00F37195" w:rsidRDefault="00310CF3" w:rsidP="00310CF3">
      <w:r w:rsidRPr="00F37195">
        <w:t>Deze doelstelling is absoluut. De volledige ketenanalyse inclusief onderbouwing van deze doelstelling is te vinden in het document “</w:t>
      </w:r>
      <w:r w:rsidR="00E0236D" w:rsidRPr="00F37195">
        <w:t>Ketenanalyse CityTec</w:t>
      </w:r>
      <w:r w:rsidRPr="00F37195">
        <w:t xml:space="preserve">”. </w:t>
      </w:r>
    </w:p>
    <w:p w14:paraId="2EBD0769" w14:textId="77777777" w:rsidR="00310CF3" w:rsidRPr="00F37195" w:rsidRDefault="00310CF3" w:rsidP="00310CF3"/>
    <w:p w14:paraId="24D216CC" w14:textId="2122FE70" w:rsidR="00310CF3" w:rsidRPr="00F37195" w:rsidRDefault="00040A19" w:rsidP="00310CF3">
      <w:r>
        <w:t>De pilot die in 2024 zou plaatsvinden in Breda is ten tijde uitgestel</w:t>
      </w:r>
      <w:r w:rsidR="004D151A">
        <w:t>d, de reden hiervoor is dat het contract herzien werd vanuit de gemeente</w:t>
      </w:r>
      <w:r w:rsidR="003033BE">
        <w:t>. Hierdoor</w:t>
      </w:r>
      <w:r>
        <w:t xml:space="preserve"> heeft er geen voortgang plaatsgevonden in 2024, gezien er nog geen retro</w:t>
      </w:r>
      <w:r w:rsidR="005D4951">
        <w:t xml:space="preserve">fit </w:t>
      </w:r>
      <w:r>
        <w:t xml:space="preserve">armaturen zijn </w:t>
      </w:r>
      <w:r w:rsidR="005D4951">
        <w:t>geïnstalleerd</w:t>
      </w:r>
      <w:r>
        <w:t>.</w:t>
      </w:r>
      <w:r w:rsidR="003033BE">
        <w:t xml:space="preserve"> Momenteel zijn er naast leveranciers Schreder, ook retrofit armaturen ingekocht bij </w:t>
      </w:r>
      <w:r w:rsidR="00384B36">
        <w:t xml:space="preserve">Modernista. Op 10 mei 2025 zal de pilot in Breda starten waarbij er 6 retrofit monturen </w:t>
      </w:r>
      <w:r w:rsidR="00E10B4F">
        <w:t>geïnstalleerd</w:t>
      </w:r>
      <w:r w:rsidR="00384B36">
        <w:t xml:space="preserve"> worden.</w:t>
      </w:r>
      <w:r w:rsidR="00DD16F2">
        <w:t xml:space="preserve"> Als de pilot succesvol wordt beoordeeld zullen er nog 388 armaturen volgen. Tevens </w:t>
      </w:r>
      <w:r w:rsidR="0015050D">
        <w:t>is</w:t>
      </w:r>
      <w:r w:rsidR="00DD16F2">
        <w:t xml:space="preserve"> er </w:t>
      </w:r>
      <w:r w:rsidR="0015050D">
        <w:t xml:space="preserve">ingeschreven op een project in Utrecht waar 10.000 armaturen </w:t>
      </w:r>
      <w:r w:rsidR="00DD16F2">
        <w:t>geïnstalleerd</w:t>
      </w:r>
      <w:r w:rsidR="0015050D">
        <w:t xml:space="preserve"> gaan worden, dit hang wel nog af of de opdracht verkregen wordt. </w:t>
      </w:r>
    </w:p>
    <w:p w14:paraId="2AC146CF" w14:textId="77777777" w:rsidR="00310CF3" w:rsidRPr="00F37195" w:rsidRDefault="00310CF3" w:rsidP="00310CF3"/>
    <w:p w14:paraId="53C63D9A" w14:textId="77777777" w:rsidR="00310CF3" w:rsidRPr="00F37195" w:rsidRDefault="00310CF3" w:rsidP="00310CF3">
      <w:r w:rsidRPr="00F37195">
        <w:t xml:space="preserve">Deze ketenanalyse is professioneel ondersteund of becommentarieerd door een ter zake als bekwaam erkend en onafhankelijk kennisinstituut, zijnde De Duurzame Adviseurs. </w:t>
      </w:r>
    </w:p>
    <w:p w14:paraId="773624F1" w14:textId="77777777" w:rsidR="00310CF3" w:rsidRDefault="00310CF3" w:rsidP="00310CF3">
      <w:pPr>
        <w:rPr>
          <w:b/>
          <w:bCs/>
          <w:color w:val="ED7D31" w:themeColor="accent2"/>
        </w:rPr>
      </w:pPr>
    </w:p>
    <w:p w14:paraId="7F834068" w14:textId="7EA5930B" w:rsidR="00A36255" w:rsidRPr="00A36255" w:rsidRDefault="00A36255" w:rsidP="00310CF3">
      <w:r w:rsidRPr="00A36255">
        <w:t>In de tabel hieronder zijn de scope 3 emissies weergegeven van de afgelopen jaren:</w:t>
      </w:r>
    </w:p>
    <w:p w14:paraId="5F1DDFEE" w14:textId="77777777" w:rsidR="00725A55" w:rsidRDefault="00725A55" w:rsidP="00310CF3">
      <w:pPr>
        <w:rPr>
          <w:b/>
          <w:bCs/>
          <w:color w:val="ED7D31" w:themeColor="accent2"/>
        </w:rPr>
      </w:pPr>
    </w:p>
    <w:p w14:paraId="4C7B85BD" w14:textId="08AB97A3" w:rsidR="00725A55" w:rsidRDefault="00725A55" w:rsidP="00310CF3">
      <w:pPr>
        <w:rPr>
          <w:b/>
          <w:bCs/>
          <w:color w:val="ED7D31" w:themeColor="accent2"/>
        </w:rPr>
      </w:pPr>
      <w:r w:rsidRPr="00C14FA6">
        <w:rPr>
          <w:noProof/>
        </w:rPr>
        <w:drawing>
          <wp:inline distT="0" distB="0" distL="0" distR="0" wp14:anchorId="39E50FEC" wp14:editId="3796965A">
            <wp:extent cx="5760720" cy="2938145"/>
            <wp:effectExtent l="0" t="0" r="0" b="0"/>
            <wp:docPr id="211282487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938145"/>
                    </a:xfrm>
                    <a:prstGeom prst="rect">
                      <a:avLst/>
                    </a:prstGeom>
                    <a:noFill/>
                    <a:ln>
                      <a:noFill/>
                    </a:ln>
                  </pic:spPr>
                </pic:pic>
              </a:graphicData>
            </a:graphic>
          </wp:inline>
        </w:drawing>
      </w:r>
    </w:p>
    <w:p w14:paraId="1566D077" w14:textId="77777777" w:rsidR="00725A55" w:rsidRPr="00D42CEE" w:rsidRDefault="00725A55" w:rsidP="00310CF3"/>
    <w:p w14:paraId="774C314B" w14:textId="0730DD20" w:rsidR="00725A55" w:rsidRPr="00D42CEE" w:rsidRDefault="00A36255" w:rsidP="00F45F9F">
      <w:r w:rsidRPr="00A36255">
        <w:t>De totale scope 3 emissies zijn</w:t>
      </w:r>
      <w:r w:rsidRPr="00D42CEE">
        <w:t xml:space="preserve"> </w:t>
      </w:r>
      <w:r w:rsidR="003B736A" w:rsidRPr="00D42CEE">
        <w:t>nage</w:t>
      </w:r>
      <w:r w:rsidR="00D42CEE" w:rsidRPr="00D42CEE">
        <w:t>noeg gelijk gebleven vergeleken vorig jaar.</w:t>
      </w:r>
      <w:r w:rsidR="00D42CEE">
        <w:t xml:space="preserve"> Er is een afname te zien in de categorie “aangekochte goederen en diensten”. Dit komt mede door een verschuiving in leverancier</w:t>
      </w:r>
      <w:r w:rsidR="00E46214">
        <w:t>s</w:t>
      </w:r>
      <w:r w:rsidR="00F45F9F">
        <w:t xml:space="preserve">. Het aandeel van leveranciers en het bedrag van deze leveranciers met emissie categorie “ijzer en staal” is in 2024 lager dan in 2023. Door de hoge emissiefactor scheelt dit op het totaal. </w:t>
      </w:r>
      <w:r w:rsidR="00473711">
        <w:t xml:space="preserve"> De categorie “gebruik van verkochte producten” is juist gestegen door </w:t>
      </w:r>
      <w:r w:rsidR="006E3305">
        <w:t xml:space="preserve">een nieuwe berekening, waarbij deze in 2024 op een andere manier wordt berekend. Waarbij dit voorheen werd gedaan door </w:t>
      </w:r>
      <w:r w:rsidR="00AF48AF">
        <w:t xml:space="preserve">te kijken naar het energieverbruik van openbare verlichting van diverse locaties, wordt sinds 2024 de berekening bepaald aan de hand van </w:t>
      </w:r>
      <w:r w:rsidR="00EA61F2">
        <w:t xml:space="preserve">de verkochte </w:t>
      </w:r>
      <w:r w:rsidR="00EA61F2">
        <w:lastRenderedPageBreak/>
        <w:t>producten in 2024 vermenigvuldigd met de</w:t>
      </w:r>
      <w:r w:rsidR="009662FF">
        <w:t xml:space="preserve"> branduren en wattage. </w:t>
      </w:r>
      <w:r w:rsidR="00EA61F2">
        <w:t xml:space="preserve"> </w:t>
      </w:r>
      <w:r w:rsidR="009662FF">
        <w:t xml:space="preserve">De overige categoriën zijn nagenoeg gelijk gebleven. </w:t>
      </w:r>
    </w:p>
    <w:p w14:paraId="6690EA39" w14:textId="77777777" w:rsidR="00725A55" w:rsidRPr="00522956" w:rsidRDefault="00725A55" w:rsidP="00310CF3">
      <w:pPr>
        <w:rPr>
          <w:b/>
          <w:bCs/>
          <w:color w:val="ED7D31" w:themeColor="accent2"/>
        </w:rPr>
      </w:pPr>
    </w:p>
    <w:p w14:paraId="0D094AFE" w14:textId="77777777" w:rsidR="000F623E" w:rsidRDefault="000F623E" w:rsidP="003837D1">
      <w:pPr>
        <w:pStyle w:val="Kop2"/>
      </w:pPr>
      <w:bookmarkStart w:id="114" w:name="_Energiebeoordeling"/>
      <w:bookmarkStart w:id="115" w:name="_Toc142472138"/>
      <w:bookmarkEnd w:id="114"/>
      <w:r>
        <w:t>Energiebeoordeling</w:t>
      </w:r>
      <w:bookmarkEnd w:id="115"/>
    </w:p>
    <w:p w14:paraId="388EAEAB" w14:textId="77777777" w:rsidR="00220745" w:rsidRPr="00A92686" w:rsidRDefault="00EA7E38" w:rsidP="001A14E7">
      <w:pPr>
        <w:rPr>
          <w:szCs w:val="20"/>
        </w:rPr>
      </w:pPr>
      <w:r w:rsidRPr="00A92686">
        <w:t xml:space="preserve">Middels de energiebeoordeling wordt inzicht verkregen in de grootste energieverbruikers binnen de organisatie. </w:t>
      </w:r>
      <w:r w:rsidR="003F67AD" w:rsidRPr="00A92686">
        <w:t>Deze beoordeling wordt uitgevoerd conform ISO 50001</w:t>
      </w:r>
      <w:r w:rsidR="00CA71DD" w:rsidRPr="00A92686">
        <w:t xml:space="preserve">. </w:t>
      </w:r>
      <w:r w:rsidRPr="00A92686">
        <w:t>De CO</w:t>
      </w:r>
      <w:r w:rsidRPr="00A92686">
        <w:rPr>
          <w:vertAlign w:val="subscript"/>
        </w:rPr>
        <w:t>2</w:t>
      </w:r>
      <w:r w:rsidRPr="00A92686">
        <w:t>-Prestatieladder vereist dat er inzicht wordt verkregen in de</w:t>
      </w:r>
      <w:r w:rsidRPr="00A92686">
        <w:rPr>
          <w:szCs w:val="20"/>
        </w:rPr>
        <w:t xml:space="preserve"> 80% grootste verbruikers. Hierdoor kunnen de belangrijkste processen, gebouwen en/of activiteiten die bijdragen aan </w:t>
      </w:r>
      <w:r w:rsidR="005A7F0A" w:rsidRPr="00A92686">
        <w:rPr>
          <w:rFonts w:cs="Calibri"/>
          <w:szCs w:val="20"/>
          <w:lang w:eastAsia="nl-NL"/>
        </w:rPr>
        <w:t>het energieverbruik en mogelijk ook de CO</w:t>
      </w:r>
      <w:r w:rsidR="005A7F0A" w:rsidRPr="00A92686">
        <w:rPr>
          <w:rFonts w:cs="Calibri"/>
          <w:szCs w:val="20"/>
          <w:vertAlign w:val="subscript"/>
          <w:lang w:eastAsia="nl-NL"/>
        </w:rPr>
        <w:t>2</w:t>
      </w:r>
      <w:r w:rsidR="005A7F0A" w:rsidRPr="00A92686">
        <w:rPr>
          <w:rFonts w:cs="Calibri"/>
          <w:szCs w:val="20"/>
          <w:lang w:eastAsia="nl-NL"/>
        </w:rPr>
        <w:t>-uitstoot</w:t>
      </w:r>
      <w:r w:rsidRPr="00A92686">
        <w:rPr>
          <w:szCs w:val="20"/>
        </w:rPr>
        <w:t xml:space="preserve"> effectief aangepakt worden. </w:t>
      </w:r>
      <w:r w:rsidR="005A7F0A" w:rsidRPr="00A92686">
        <w:rPr>
          <w:szCs w:val="20"/>
        </w:rPr>
        <w:t>De analyse is gebaseerd op berekeningen uit het Excel document “CO</w:t>
      </w:r>
      <w:r w:rsidR="005A7F0A" w:rsidRPr="00A92686">
        <w:rPr>
          <w:szCs w:val="20"/>
          <w:vertAlign w:val="subscript"/>
        </w:rPr>
        <w:t>2</w:t>
      </w:r>
      <w:r w:rsidR="005A7F0A" w:rsidRPr="00A92686">
        <w:rPr>
          <w:szCs w:val="20"/>
        </w:rPr>
        <w:t>-</w:t>
      </w:r>
      <w:r w:rsidR="00240A84" w:rsidRPr="00A92686">
        <w:rPr>
          <w:szCs w:val="20"/>
        </w:rPr>
        <w:t>d</w:t>
      </w:r>
      <w:r w:rsidR="005A7F0A" w:rsidRPr="00A92686">
        <w:rPr>
          <w:szCs w:val="20"/>
        </w:rPr>
        <w:t xml:space="preserve">ashboard”. </w:t>
      </w:r>
    </w:p>
    <w:p w14:paraId="54CF9908" w14:textId="77777777" w:rsidR="00150924" w:rsidRDefault="00150924" w:rsidP="001A14E7">
      <w:pPr>
        <w:rPr>
          <w:szCs w:val="20"/>
        </w:rPr>
      </w:pPr>
    </w:p>
    <w:p w14:paraId="3B2EA99D" w14:textId="77777777" w:rsidR="00150924" w:rsidRDefault="00150924" w:rsidP="00150924">
      <w:pPr>
        <w:pStyle w:val="Kop3"/>
      </w:pPr>
      <w:bookmarkStart w:id="116" w:name="_Toc142472139"/>
      <w:r>
        <w:t>Energieverbruik</w:t>
      </w:r>
      <w:bookmarkEnd w:id="116"/>
    </w:p>
    <w:p w14:paraId="6BD28A60" w14:textId="6515EAE6" w:rsidR="00240A84" w:rsidRPr="00A732D0" w:rsidRDefault="00150924" w:rsidP="001A14E7">
      <w:r>
        <w:t xml:space="preserve">In onderstaande tabel zijn de </w:t>
      </w:r>
      <w:r w:rsidR="00C35FE9">
        <w:t>energie</w:t>
      </w:r>
      <w:r>
        <w:t>verbruiken weergegeven voor scope 1, 2 en business travel.</w:t>
      </w:r>
    </w:p>
    <w:p w14:paraId="175015C9" w14:textId="77777777" w:rsidR="005F2015" w:rsidRDefault="005F2015" w:rsidP="001A14E7">
      <w:pPr>
        <w:rPr>
          <w:szCs w:val="20"/>
        </w:rPr>
      </w:pPr>
    </w:p>
    <w:p w14:paraId="468D6B64" w14:textId="5694E6F6" w:rsidR="005F2015" w:rsidRDefault="00E43184" w:rsidP="001A14E7">
      <w:pPr>
        <w:rPr>
          <w:szCs w:val="20"/>
        </w:rPr>
      </w:pPr>
      <w:r w:rsidRPr="00E43184">
        <w:rPr>
          <w:noProof/>
        </w:rPr>
        <w:drawing>
          <wp:inline distT="0" distB="0" distL="0" distR="0" wp14:anchorId="6B3423DA" wp14:editId="7D706133">
            <wp:extent cx="5760720" cy="1863725"/>
            <wp:effectExtent l="0" t="0" r="0" b="3175"/>
            <wp:docPr id="4268147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863725"/>
                    </a:xfrm>
                    <a:prstGeom prst="rect">
                      <a:avLst/>
                    </a:prstGeom>
                    <a:noFill/>
                    <a:ln>
                      <a:noFill/>
                    </a:ln>
                  </pic:spPr>
                </pic:pic>
              </a:graphicData>
            </a:graphic>
          </wp:inline>
        </w:drawing>
      </w:r>
    </w:p>
    <w:p w14:paraId="06CF9B40" w14:textId="77777777" w:rsidR="005F2015" w:rsidRDefault="005F2015" w:rsidP="001A14E7">
      <w:pPr>
        <w:rPr>
          <w:szCs w:val="20"/>
        </w:rPr>
      </w:pPr>
    </w:p>
    <w:p w14:paraId="6950E924" w14:textId="518DCF48" w:rsidR="0022761D" w:rsidRDefault="007C524E" w:rsidP="001A14E7">
      <w:pPr>
        <w:rPr>
          <w:szCs w:val="20"/>
        </w:rPr>
      </w:pPr>
      <w:r>
        <w:rPr>
          <w:szCs w:val="20"/>
        </w:rPr>
        <w:t xml:space="preserve">De </w:t>
      </w:r>
      <w:r w:rsidR="00042C03">
        <w:rPr>
          <w:szCs w:val="20"/>
        </w:rPr>
        <w:t>voortgang ten</w:t>
      </w:r>
      <w:r w:rsidR="0022761D">
        <w:rPr>
          <w:szCs w:val="20"/>
        </w:rPr>
        <w:t xml:space="preserve"> opzichte van</w:t>
      </w:r>
      <w:r>
        <w:rPr>
          <w:szCs w:val="20"/>
        </w:rPr>
        <w:t xml:space="preserve"> eerdere</w:t>
      </w:r>
      <w:r w:rsidR="00042C03">
        <w:rPr>
          <w:szCs w:val="20"/>
        </w:rPr>
        <w:t xml:space="preserve"> jaren is te zien in onderstaande tabel.</w:t>
      </w:r>
    </w:p>
    <w:p w14:paraId="5EB0B00A" w14:textId="7BB8DC05" w:rsidR="0022761D" w:rsidRDefault="0022761D" w:rsidP="001A14E7">
      <w:pPr>
        <w:rPr>
          <w:szCs w:val="20"/>
        </w:rPr>
      </w:pPr>
      <w:r>
        <w:rPr>
          <w:noProof/>
          <w:szCs w:val="20"/>
        </w:rPr>
        <w:drawing>
          <wp:inline distT="0" distB="0" distL="0" distR="0" wp14:anchorId="7DDDB30F" wp14:editId="0E80D11D">
            <wp:extent cx="5753100" cy="1727200"/>
            <wp:effectExtent l="0" t="0" r="0" b="6350"/>
            <wp:docPr id="325956221" name="Afbeelding 4"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56221" name="Afbeelding 4" descr="Afbeelding met tekst, schermopname, nummer, Lettertype&#10;&#10;Door AI gegenereerde inhoud is mogelijk onjuis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3100" cy="1727200"/>
                    </a:xfrm>
                    <a:prstGeom prst="rect">
                      <a:avLst/>
                    </a:prstGeom>
                    <a:noFill/>
                    <a:ln>
                      <a:noFill/>
                    </a:ln>
                  </pic:spPr>
                </pic:pic>
              </a:graphicData>
            </a:graphic>
          </wp:inline>
        </w:drawing>
      </w:r>
    </w:p>
    <w:p w14:paraId="1D0F59A7" w14:textId="4A3964AB" w:rsidR="00A41E0F" w:rsidRPr="00C35FE9" w:rsidRDefault="00A41E0F" w:rsidP="001A14E7">
      <w:pPr>
        <w:rPr>
          <w:szCs w:val="20"/>
        </w:rPr>
      </w:pPr>
    </w:p>
    <w:p w14:paraId="07136802" w14:textId="77777777" w:rsidR="00240A84" w:rsidRDefault="006031D0" w:rsidP="003837D1">
      <w:pPr>
        <w:pStyle w:val="Kop3"/>
      </w:pPr>
      <w:bookmarkStart w:id="117" w:name="_Toc142472140"/>
      <w:r>
        <w:t>Identificatie</w:t>
      </w:r>
      <w:r w:rsidR="00944661">
        <w:t xml:space="preserve"> grootste</w:t>
      </w:r>
      <w:r>
        <w:t xml:space="preserve"> </w:t>
      </w:r>
      <w:r w:rsidR="00944661">
        <w:t>energiestromen</w:t>
      </w:r>
      <w:bookmarkEnd w:id="117"/>
    </w:p>
    <w:p w14:paraId="0E89D432" w14:textId="77777777" w:rsidR="00811106" w:rsidRDefault="00F900FB" w:rsidP="00F900FB">
      <w:pPr>
        <w:rPr>
          <w:szCs w:val="20"/>
        </w:rPr>
      </w:pPr>
      <w:r>
        <w:rPr>
          <w:szCs w:val="20"/>
        </w:rPr>
        <w:t xml:space="preserve">In onderstaande figuur worden de top 80% grootste energiestromen in GJ weergegeven. </w:t>
      </w:r>
    </w:p>
    <w:p w14:paraId="4E57B608" w14:textId="4391C94B" w:rsidR="00D60A01" w:rsidRDefault="00D60A01" w:rsidP="00F900FB">
      <w:pPr>
        <w:rPr>
          <w:color w:val="ED7D31" w:themeColor="accent2"/>
          <w:szCs w:val="20"/>
        </w:rPr>
      </w:pPr>
      <w:r>
        <w:rPr>
          <w:noProof/>
        </w:rPr>
        <w:lastRenderedPageBreak/>
        <w:drawing>
          <wp:inline distT="0" distB="0" distL="0" distR="0" wp14:anchorId="4AE42154" wp14:editId="61BAE89F">
            <wp:extent cx="5760720" cy="2495550"/>
            <wp:effectExtent l="0" t="0" r="0" b="0"/>
            <wp:docPr id="108485662" name="Grafiek 1">
              <a:extLst xmlns:a="http://schemas.openxmlformats.org/drawingml/2006/main">
                <a:ext uri="{FF2B5EF4-FFF2-40B4-BE49-F238E27FC236}">
                  <a16:creationId xmlns:a16="http://schemas.microsoft.com/office/drawing/2014/main" id="{90677E32-5C70-7F41-A75E-D94D61466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9DA7D91" w14:textId="77777777" w:rsidR="00A732D0" w:rsidRDefault="00A732D0" w:rsidP="00FD3DC6">
      <w:pPr>
        <w:rPr>
          <w:b/>
          <w:bCs/>
          <w:color w:val="FF0000"/>
          <w:szCs w:val="20"/>
        </w:rPr>
      </w:pPr>
    </w:p>
    <w:p w14:paraId="5B9F2786" w14:textId="19C00F99" w:rsidR="00A732D0" w:rsidRDefault="00A732D0" w:rsidP="00FD3DC6">
      <w:pPr>
        <w:rPr>
          <w:b/>
          <w:bCs/>
          <w:color w:val="FF0000"/>
          <w:szCs w:val="20"/>
        </w:rPr>
      </w:pPr>
    </w:p>
    <w:p w14:paraId="6FAFB881" w14:textId="77777777" w:rsidR="00612DF7" w:rsidRDefault="00612DF7" w:rsidP="00FD3DC6">
      <w:pPr>
        <w:rPr>
          <w:b/>
          <w:bCs/>
          <w:color w:val="FF0000"/>
          <w:szCs w:val="20"/>
        </w:rPr>
      </w:pPr>
    </w:p>
    <w:p w14:paraId="746CEBD1" w14:textId="24A08AC7" w:rsidR="00612DF7" w:rsidRPr="001C15EB" w:rsidRDefault="00612DF7" w:rsidP="00FD3DC6">
      <w:pPr>
        <w:rPr>
          <w:b/>
          <w:bCs/>
          <w:color w:val="FF0000"/>
          <w:szCs w:val="20"/>
        </w:rPr>
      </w:pPr>
    </w:p>
    <w:p w14:paraId="45D4E50F" w14:textId="77777777" w:rsidR="00EA7E38" w:rsidRDefault="00EA7E38" w:rsidP="001A14E7">
      <w:pPr>
        <w:rPr>
          <w:color w:val="ED7D31" w:themeColor="accent2"/>
        </w:rPr>
      </w:pPr>
    </w:p>
    <w:p w14:paraId="13644831" w14:textId="77777777" w:rsidR="00A62B07" w:rsidRPr="00136CB5" w:rsidRDefault="007B51E6" w:rsidP="001A14E7">
      <w:r w:rsidRPr="00136CB5">
        <w:t>D</w:t>
      </w:r>
      <w:r w:rsidR="00C97964" w:rsidRPr="00136CB5">
        <w:t xml:space="preserve">e </w:t>
      </w:r>
      <w:r w:rsidRPr="00136CB5">
        <w:t xml:space="preserve">geïdentificeerde </w:t>
      </w:r>
      <w:r w:rsidR="00C97964" w:rsidRPr="00136CB5">
        <w:t>grootste energie</w:t>
      </w:r>
      <w:r w:rsidR="00F900FB" w:rsidRPr="00136CB5">
        <w:t xml:space="preserve">stromen </w:t>
      </w:r>
      <w:r w:rsidRPr="00136CB5">
        <w:t>worden hieronder geanalyseerd.</w:t>
      </w:r>
    </w:p>
    <w:p w14:paraId="09324E2E" w14:textId="77777777" w:rsidR="007B51E6" w:rsidRDefault="007B51E6" w:rsidP="001A14E7">
      <w:pPr>
        <w:rPr>
          <w:color w:val="000000" w:themeColor="text1"/>
        </w:rPr>
      </w:pPr>
    </w:p>
    <w:p w14:paraId="69EDEE09" w14:textId="51921210" w:rsidR="007B51E6" w:rsidRPr="004F3F57" w:rsidRDefault="0059379E" w:rsidP="003837D1">
      <w:pPr>
        <w:pStyle w:val="Kop3"/>
        <w:rPr>
          <w:color w:val="6BBE93"/>
        </w:rPr>
      </w:pPr>
      <w:bookmarkStart w:id="118" w:name="_Toc142472141"/>
      <w:r w:rsidRPr="003837D1">
        <w:rPr>
          <w:color w:val="6BBE93"/>
        </w:rPr>
        <w:t xml:space="preserve">Analyse </w:t>
      </w:r>
      <w:bookmarkEnd w:id="118"/>
      <w:r w:rsidR="004F3F57" w:rsidRPr="004F3F57">
        <w:rPr>
          <w:color w:val="6BBE93"/>
        </w:rPr>
        <w:t>brandstofverbruik wagenpark</w:t>
      </w:r>
    </w:p>
    <w:p w14:paraId="02317665" w14:textId="466D2392" w:rsidR="00FB12D2" w:rsidRPr="00136CB5" w:rsidRDefault="00FB12D2" w:rsidP="00FB12D2">
      <w:r w:rsidRPr="00136CB5">
        <w:t xml:space="preserve">Zoals in het cirkeldiagram is te zien, </w:t>
      </w:r>
      <w:r w:rsidR="0062402B" w:rsidRPr="00136CB5">
        <w:t>wordt 7</w:t>
      </w:r>
      <w:r w:rsidR="009562AA" w:rsidRPr="00136CB5">
        <w:t>8</w:t>
      </w:r>
      <w:r w:rsidR="0062402B" w:rsidRPr="00136CB5">
        <w:t xml:space="preserve">% </w:t>
      </w:r>
      <w:r w:rsidRPr="00136CB5">
        <w:t xml:space="preserve">van </w:t>
      </w:r>
      <w:r w:rsidR="0062402B" w:rsidRPr="00136CB5">
        <w:t xml:space="preserve">het energieverbruik </w:t>
      </w:r>
      <w:r w:rsidRPr="00136CB5">
        <w:t>veroorzaakt door het brandstofverbruik van het wagenpark</w:t>
      </w:r>
      <w:r w:rsidR="00363104" w:rsidRPr="00136CB5">
        <w:t xml:space="preserve"> (eenzelfde percentage als vorig jaar) </w:t>
      </w:r>
      <w:r w:rsidR="0062402B" w:rsidRPr="00136CB5">
        <w:t xml:space="preserve">met diesel en </w:t>
      </w:r>
      <w:r w:rsidR="00136CB5" w:rsidRPr="00136CB5">
        <w:t>hybride</w:t>
      </w:r>
      <w:r w:rsidR="0062402B" w:rsidRPr="00136CB5">
        <w:t xml:space="preserve"> als de belangrijkste energiedragers.</w:t>
      </w:r>
      <w:r w:rsidRPr="00136CB5">
        <w:t xml:space="preserve"> Het wagenpark ziet er als volgt uit:</w:t>
      </w:r>
    </w:p>
    <w:p w14:paraId="23DC826C" w14:textId="77777777" w:rsidR="000331D4" w:rsidRDefault="000331D4" w:rsidP="00FB12D2">
      <w:pPr>
        <w:rPr>
          <w:color w:val="ED7D31" w:themeColor="accent2"/>
        </w:rPr>
      </w:pPr>
    </w:p>
    <w:tbl>
      <w:tblPr>
        <w:tblW w:w="7903" w:type="dxa"/>
        <w:tblCellMar>
          <w:top w:w="15" w:type="dxa"/>
          <w:left w:w="70" w:type="dxa"/>
          <w:bottom w:w="15" w:type="dxa"/>
          <w:right w:w="70" w:type="dxa"/>
        </w:tblCellMar>
        <w:tblLook w:val="04A0" w:firstRow="1" w:lastRow="0" w:firstColumn="1" w:lastColumn="0" w:noHBand="0" w:noVBand="1"/>
      </w:tblPr>
      <w:tblGrid>
        <w:gridCol w:w="3010"/>
        <w:gridCol w:w="1673"/>
        <w:gridCol w:w="771"/>
        <w:gridCol w:w="1695"/>
        <w:gridCol w:w="754"/>
      </w:tblGrid>
      <w:tr w:rsidR="00726B5D" w:rsidRPr="00726B5D" w14:paraId="689CC41A" w14:textId="47DA09F4" w:rsidTr="00726B5D">
        <w:trPr>
          <w:trHeight w:val="507"/>
        </w:trPr>
        <w:tc>
          <w:tcPr>
            <w:tcW w:w="3010" w:type="dxa"/>
            <w:tcBorders>
              <w:top w:val="single" w:sz="4" w:space="0" w:color="auto"/>
              <w:left w:val="single" w:sz="4" w:space="0" w:color="auto"/>
              <w:bottom w:val="single" w:sz="4" w:space="0" w:color="auto"/>
              <w:right w:val="nil"/>
            </w:tcBorders>
            <w:shd w:val="clear" w:color="000000" w:fill="6ABD92"/>
            <w:noWrap/>
            <w:vAlign w:val="center"/>
            <w:hideMark/>
          </w:tcPr>
          <w:p w14:paraId="4B867DEE" w14:textId="77777777" w:rsidR="000331D4" w:rsidRPr="000331D4" w:rsidRDefault="000331D4" w:rsidP="000331D4">
            <w:pPr>
              <w:jc w:val="left"/>
              <w:rPr>
                <w:rFonts w:eastAsia="Times New Roman" w:cs="Calibri"/>
                <w:b/>
                <w:bCs/>
                <w:sz w:val="18"/>
                <w:szCs w:val="18"/>
                <w:lang w:eastAsia="nl-NL"/>
              </w:rPr>
            </w:pPr>
            <w:r w:rsidRPr="000331D4">
              <w:rPr>
                <w:rFonts w:eastAsia="Times New Roman" w:cs="Calibri"/>
                <w:b/>
                <w:bCs/>
                <w:sz w:val="18"/>
                <w:szCs w:val="18"/>
                <w:lang w:eastAsia="nl-NL"/>
              </w:rPr>
              <w:t>Tabel V3. Brandstoftypes wagenpark</w:t>
            </w:r>
          </w:p>
        </w:tc>
        <w:tc>
          <w:tcPr>
            <w:tcW w:w="1673" w:type="dxa"/>
            <w:tcBorders>
              <w:top w:val="single" w:sz="4" w:space="0" w:color="auto"/>
              <w:left w:val="nil"/>
              <w:bottom w:val="single" w:sz="4" w:space="0" w:color="auto"/>
              <w:right w:val="nil"/>
            </w:tcBorders>
            <w:shd w:val="clear" w:color="000000" w:fill="6ABD92"/>
            <w:noWrap/>
            <w:vAlign w:val="center"/>
            <w:hideMark/>
          </w:tcPr>
          <w:p w14:paraId="0199F65F" w14:textId="77777777" w:rsidR="000331D4" w:rsidRPr="000331D4" w:rsidRDefault="000331D4" w:rsidP="000331D4">
            <w:pPr>
              <w:jc w:val="left"/>
              <w:rPr>
                <w:rFonts w:eastAsia="Times New Roman" w:cs="Calibri"/>
                <w:b/>
                <w:bCs/>
                <w:sz w:val="18"/>
                <w:szCs w:val="18"/>
                <w:lang w:eastAsia="nl-NL"/>
              </w:rPr>
            </w:pPr>
          </w:p>
        </w:tc>
        <w:tc>
          <w:tcPr>
            <w:tcW w:w="770" w:type="dxa"/>
            <w:tcBorders>
              <w:top w:val="single" w:sz="4" w:space="0" w:color="auto"/>
              <w:left w:val="nil"/>
              <w:bottom w:val="single" w:sz="4" w:space="0" w:color="auto"/>
              <w:right w:val="nil"/>
            </w:tcBorders>
            <w:shd w:val="clear" w:color="000000" w:fill="6ABD92"/>
          </w:tcPr>
          <w:p w14:paraId="27E69CC9" w14:textId="77777777" w:rsidR="000331D4" w:rsidRPr="00726B5D" w:rsidRDefault="000331D4" w:rsidP="000331D4">
            <w:pPr>
              <w:jc w:val="left"/>
              <w:rPr>
                <w:rFonts w:ascii="Times New Roman" w:eastAsia="Times New Roman" w:hAnsi="Times New Roman" w:cs="Times New Roman"/>
                <w:sz w:val="14"/>
                <w:szCs w:val="14"/>
                <w:lang w:eastAsia="nl-NL"/>
              </w:rPr>
            </w:pPr>
          </w:p>
        </w:tc>
        <w:tc>
          <w:tcPr>
            <w:tcW w:w="1695" w:type="dxa"/>
            <w:tcBorders>
              <w:top w:val="single" w:sz="4" w:space="0" w:color="auto"/>
              <w:left w:val="nil"/>
              <w:bottom w:val="single" w:sz="4" w:space="0" w:color="auto"/>
              <w:right w:val="nil"/>
            </w:tcBorders>
            <w:shd w:val="clear" w:color="000000" w:fill="6ABD92"/>
            <w:noWrap/>
            <w:vAlign w:val="center"/>
            <w:hideMark/>
          </w:tcPr>
          <w:p w14:paraId="0A8D4500" w14:textId="2056401F" w:rsidR="000331D4" w:rsidRPr="000331D4" w:rsidRDefault="000331D4" w:rsidP="000331D4">
            <w:pPr>
              <w:jc w:val="left"/>
              <w:rPr>
                <w:rFonts w:ascii="Times New Roman" w:eastAsia="Times New Roman" w:hAnsi="Times New Roman" w:cs="Times New Roman"/>
                <w:sz w:val="14"/>
                <w:szCs w:val="14"/>
                <w:lang w:eastAsia="nl-NL"/>
              </w:rPr>
            </w:pPr>
          </w:p>
        </w:tc>
        <w:tc>
          <w:tcPr>
            <w:tcW w:w="754" w:type="dxa"/>
            <w:tcBorders>
              <w:top w:val="single" w:sz="4" w:space="0" w:color="auto"/>
              <w:left w:val="nil"/>
              <w:bottom w:val="single" w:sz="4" w:space="0" w:color="auto"/>
              <w:right w:val="single" w:sz="4" w:space="0" w:color="auto"/>
            </w:tcBorders>
            <w:shd w:val="clear" w:color="000000" w:fill="6ABD92"/>
          </w:tcPr>
          <w:p w14:paraId="12BCAAB0" w14:textId="77777777" w:rsidR="000331D4" w:rsidRPr="00726B5D" w:rsidRDefault="000331D4" w:rsidP="000331D4">
            <w:pPr>
              <w:jc w:val="left"/>
              <w:rPr>
                <w:rFonts w:ascii="Times New Roman" w:eastAsia="Times New Roman" w:hAnsi="Times New Roman" w:cs="Times New Roman"/>
                <w:sz w:val="14"/>
                <w:szCs w:val="14"/>
                <w:lang w:eastAsia="nl-NL"/>
              </w:rPr>
            </w:pPr>
          </w:p>
        </w:tc>
      </w:tr>
      <w:tr w:rsidR="00726B5D" w:rsidRPr="00726B5D" w14:paraId="02554E25" w14:textId="3041B41A" w:rsidTr="006252EE">
        <w:trPr>
          <w:trHeight w:val="67"/>
        </w:trPr>
        <w:tc>
          <w:tcPr>
            <w:tcW w:w="301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78B551" w14:textId="1B7A7A46" w:rsidR="00726B5D" w:rsidRPr="00726B5D" w:rsidRDefault="00726B5D" w:rsidP="00726B5D">
            <w:pPr>
              <w:jc w:val="left"/>
              <w:rPr>
                <w:rFonts w:eastAsia="Times New Roman" w:cs="Calibri"/>
                <w:b/>
                <w:bCs/>
                <w:sz w:val="18"/>
                <w:szCs w:val="18"/>
                <w:lang w:eastAsia="nl-NL"/>
              </w:rPr>
            </w:pPr>
          </w:p>
        </w:tc>
        <w:tc>
          <w:tcPr>
            <w:tcW w:w="244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0F1879ED" w14:textId="5A81C1C3" w:rsidR="00726B5D" w:rsidRPr="00726B5D" w:rsidRDefault="00726B5D" w:rsidP="00726B5D">
            <w:pPr>
              <w:jc w:val="center"/>
              <w:rPr>
                <w:rFonts w:eastAsia="Times New Roman" w:cs="Calibri"/>
                <w:b/>
                <w:bCs/>
                <w:sz w:val="18"/>
                <w:szCs w:val="18"/>
                <w:lang w:eastAsia="nl-NL"/>
              </w:rPr>
            </w:pPr>
            <w:r w:rsidRPr="000331D4">
              <w:rPr>
                <w:rFonts w:eastAsia="Times New Roman" w:cs="Calibri"/>
                <w:b/>
                <w:bCs/>
                <w:sz w:val="18"/>
                <w:szCs w:val="18"/>
                <w:lang w:eastAsia="nl-NL"/>
              </w:rPr>
              <w:t>2023</w:t>
            </w:r>
          </w:p>
        </w:tc>
        <w:tc>
          <w:tcPr>
            <w:tcW w:w="244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63A7175E" w14:textId="6FAA2798" w:rsidR="00726B5D" w:rsidRPr="00726B5D" w:rsidRDefault="00726B5D" w:rsidP="00726B5D">
            <w:pPr>
              <w:jc w:val="center"/>
              <w:rPr>
                <w:rFonts w:eastAsia="Times New Roman" w:cs="Calibri"/>
                <w:b/>
                <w:bCs/>
                <w:sz w:val="18"/>
                <w:szCs w:val="18"/>
                <w:lang w:eastAsia="nl-NL"/>
              </w:rPr>
            </w:pPr>
            <w:r w:rsidRPr="00726B5D">
              <w:rPr>
                <w:rFonts w:eastAsia="Times New Roman" w:cs="Calibri"/>
                <w:b/>
                <w:bCs/>
                <w:sz w:val="18"/>
                <w:szCs w:val="18"/>
                <w:lang w:eastAsia="nl-NL"/>
              </w:rPr>
              <w:t>2024</w:t>
            </w:r>
          </w:p>
        </w:tc>
      </w:tr>
      <w:tr w:rsidR="00726B5D" w:rsidRPr="00726B5D" w14:paraId="27DEE387" w14:textId="50C723C9" w:rsidTr="00F8531F">
        <w:trPr>
          <w:trHeight w:val="333"/>
        </w:trPr>
        <w:tc>
          <w:tcPr>
            <w:tcW w:w="30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BFA23" w14:textId="77777777" w:rsidR="00726B5D" w:rsidRPr="000331D4" w:rsidRDefault="00726B5D" w:rsidP="00726B5D">
            <w:pPr>
              <w:jc w:val="left"/>
              <w:rPr>
                <w:rFonts w:eastAsia="Times New Roman" w:cs="Calibri"/>
                <w:b/>
                <w:bCs/>
                <w:sz w:val="18"/>
                <w:szCs w:val="18"/>
                <w:lang w:eastAsia="nl-NL"/>
              </w:rPr>
            </w:pPr>
            <w:r w:rsidRPr="000331D4">
              <w:rPr>
                <w:rFonts w:eastAsia="Times New Roman" w:cs="Calibri"/>
                <w:b/>
                <w:bCs/>
                <w:sz w:val="18"/>
                <w:szCs w:val="18"/>
                <w:lang w:eastAsia="nl-NL"/>
              </w:rPr>
              <w:t>Brandstoftype</w:t>
            </w:r>
          </w:p>
        </w:tc>
        <w:tc>
          <w:tcPr>
            <w:tcW w:w="167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80D66" w14:textId="208E863D" w:rsidR="00726B5D" w:rsidRPr="000331D4" w:rsidRDefault="00726B5D" w:rsidP="00F8531F">
            <w:pPr>
              <w:jc w:val="right"/>
              <w:rPr>
                <w:rFonts w:eastAsia="Times New Roman" w:cs="Calibri"/>
                <w:b/>
                <w:bCs/>
                <w:sz w:val="18"/>
                <w:szCs w:val="18"/>
                <w:lang w:eastAsia="nl-NL"/>
              </w:rPr>
            </w:pPr>
            <w:r w:rsidRPr="00726B5D">
              <w:rPr>
                <w:rFonts w:eastAsia="Times New Roman" w:cs="Calibri"/>
                <w:b/>
                <w:bCs/>
                <w:sz w:val="18"/>
                <w:szCs w:val="18"/>
                <w:lang w:eastAsia="nl-NL"/>
              </w:rPr>
              <w:t xml:space="preserve">Aantal </w:t>
            </w:r>
            <w:r w:rsidR="00725A55">
              <w:rPr>
                <w:rFonts w:eastAsia="Times New Roman" w:cs="Calibri"/>
                <w:b/>
                <w:bCs/>
                <w:sz w:val="18"/>
                <w:szCs w:val="18"/>
                <w:lang w:eastAsia="nl-NL"/>
              </w:rPr>
              <w:t>voertuigen</w:t>
            </w: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tcPr>
          <w:p w14:paraId="373DC45F" w14:textId="7294A13C" w:rsidR="00726B5D" w:rsidRPr="00726B5D" w:rsidRDefault="00726B5D" w:rsidP="00F8531F">
            <w:pPr>
              <w:jc w:val="right"/>
              <w:rPr>
                <w:rFonts w:eastAsia="Times New Roman" w:cs="Calibri"/>
                <w:b/>
                <w:bCs/>
                <w:sz w:val="18"/>
                <w:szCs w:val="18"/>
                <w:lang w:eastAsia="nl-NL"/>
              </w:rPr>
            </w:pPr>
            <w:r w:rsidRPr="00726B5D">
              <w:rPr>
                <w:rFonts w:eastAsia="Times New Roman" w:cs="Calibri"/>
                <w:b/>
                <w:bCs/>
                <w:sz w:val="18"/>
                <w:szCs w:val="18"/>
                <w:lang w:eastAsia="nl-NL"/>
              </w:rPr>
              <w:t>%</w:t>
            </w:r>
          </w:p>
        </w:tc>
        <w:tc>
          <w:tcPr>
            <w:tcW w:w="1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6BF20" w14:textId="7B80A0E5" w:rsidR="00726B5D" w:rsidRPr="000331D4" w:rsidRDefault="00726B5D" w:rsidP="00F8531F">
            <w:pPr>
              <w:jc w:val="right"/>
              <w:rPr>
                <w:rFonts w:eastAsia="Times New Roman" w:cs="Calibri"/>
                <w:b/>
                <w:bCs/>
                <w:sz w:val="18"/>
                <w:szCs w:val="18"/>
                <w:lang w:eastAsia="nl-NL"/>
              </w:rPr>
            </w:pPr>
            <w:r w:rsidRPr="00726B5D">
              <w:rPr>
                <w:rFonts w:eastAsia="Times New Roman" w:cs="Calibri"/>
                <w:b/>
                <w:bCs/>
                <w:sz w:val="18"/>
                <w:szCs w:val="18"/>
                <w:lang w:eastAsia="nl-NL"/>
              </w:rPr>
              <w:t xml:space="preserve">Aantal </w:t>
            </w:r>
            <w:r w:rsidR="00725A55">
              <w:rPr>
                <w:rFonts w:eastAsia="Times New Roman" w:cs="Calibri"/>
                <w:b/>
                <w:bCs/>
                <w:sz w:val="18"/>
                <w:szCs w:val="18"/>
                <w:lang w:eastAsia="nl-NL"/>
              </w:rPr>
              <w:t>voertuigen</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center"/>
          </w:tcPr>
          <w:p w14:paraId="02B4B8A1" w14:textId="743FAD98" w:rsidR="00726B5D" w:rsidRPr="00726B5D" w:rsidRDefault="00726B5D" w:rsidP="00F8531F">
            <w:pPr>
              <w:jc w:val="right"/>
              <w:rPr>
                <w:rFonts w:eastAsia="Times New Roman" w:cs="Calibri"/>
                <w:b/>
                <w:bCs/>
                <w:sz w:val="18"/>
                <w:szCs w:val="18"/>
                <w:lang w:eastAsia="nl-NL"/>
              </w:rPr>
            </w:pPr>
            <w:r w:rsidRPr="00726B5D">
              <w:rPr>
                <w:rFonts w:eastAsia="Times New Roman" w:cs="Calibri"/>
                <w:b/>
                <w:bCs/>
                <w:sz w:val="18"/>
                <w:szCs w:val="18"/>
                <w:lang w:eastAsia="nl-NL"/>
              </w:rPr>
              <w:t>%</w:t>
            </w:r>
          </w:p>
        </w:tc>
      </w:tr>
      <w:tr w:rsidR="00726B5D" w:rsidRPr="00726B5D" w14:paraId="187357F0" w14:textId="514D499F" w:rsidTr="00726B5D">
        <w:trPr>
          <w:trHeight w:val="333"/>
        </w:trPr>
        <w:tc>
          <w:tcPr>
            <w:tcW w:w="30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CB6EA9" w14:textId="77777777" w:rsidR="00726B5D" w:rsidRPr="000331D4" w:rsidRDefault="00726B5D" w:rsidP="00726B5D">
            <w:pPr>
              <w:jc w:val="left"/>
              <w:rPr>
                <w:rFonts w:eastAsia="Times New Roman" w:cs="Calibri"/>
                <w:sz w:val="18"/>
                <w:szCs w:val="18"/>
                <w:lang w:eastAsia="nl-NL"/>
              </w:rPr>
            </w:pPr>
            <w:r w:rsidRPr="000331D4">
              <w:rPr>
                <w:rFonts w:eastAsia="Times New Roman" w:cs="Calibri"/>
                <w:sz w:val="18"/>
                <w:szCs w:val="18"/>
                <w:lang w:eastAsia="nl-NL"/>
              </w:rPr>
              <w:t>Elektriciteit</w:t>
            </w:r>
          </w:p>
        </w:tc>
        <w:tc>
          <w:tcPr>
            <w:tcW w:w="1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12137" w14:textId="77777777" w:rsidR="00726B5D" w:rsidRPr="000331D4" w:rsidRDefault="00726B5D" w:rsidP="00726B5D">
            <w:pPr>
              <w:jc w:val="right"/>
              <w:rPr>
                <w:rFonts w:eastAsia="Times New Roman" w:cs="Calibri"/>
                <w:sz w:val="18"/>
                <w:szCs w:val="18"/>
                <w:lang w:eastAsia="nl-NL"/>
              </w:rPr>
            </w:pPr>
            <w:r w:rsidRPr="000331D4">
              <w:rPr>
                <w:rFonts w:eastAsia="Times New Roman" w:cs="Calibri"/>
                <w:sz w:val="18"/>
                <w:szCs w:val="18"/>
                <w:lang w:eastAsia="nl-NL"/>
              </w:rPr>
              <w:t>14</w:t>
            </w: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tcPr>
          <w:p w14:paraId="4AEDBA79" w14:textId="12BC29AB" w:rsidR="00726B5D" w:rsidRPr="00726B5D" w:rsidRDefault="00726B5D" w:rsidP="00726B5D">
            <w:pPr>
              <w:jc w:val="right"/>
              <w:rPr>
                <w:rFonts w:eastAsia="Times New Roman" w:cs="Calibri"/>
                <w:sz w:val="18"/>
                <w:szCs w:val="18"/>
                <w:lang w:eastAsia="nl-NL"/>
              </w:rPr>
            </w:pPr>
            <w:r w:rsidRPr="00726B5D">
              <w:rPr>
                <w:rFonts w:eastAsia="Times New Roman" w:cs="Calibri"/>
                <w:sz w:val="18"/>
                <w:szCs w:val="18"/>
                <w:lang w:eastAsia="nl-NL"/>
              </w:rPr>
              <w:t>12,4%</w:t>
            </w:r>
          </w:p>
        </w:tc>
        <w:tc>
          <w:tcPr>
            <w:tcW w:w="1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3E9F7" w14:textId="5DFC688D" w:rsidR="00726B5D" w:rsidRPr="000331D4" w:rsidRDefault="00FE15A8" w:rsidP="00726B5D">
            <w:pPr>
              <w:jc w:val="right"/>
              <w:rPr>
                <w:rFonts w:eastAsia="Times New Roman" w:cs="Calibri"/>
                <w:sz w:val="18"/>
                <w:szCs w:val="18"/>
                <w:lang w:eastAsia="nl-NL"/>
              </w:rPr>
            </w:pPr>
            <w:r>
              <w:rPr>
                <w:rFonts w:eastAsia="Times New Roman" w:cs="Calibri"/>
                <w:sz w:val="18"/>
                <w:szCs w:val="18"/>
                <w:lang w:eastAsia="nl-NL"/>
              </w:rPr>
              <w:t>41</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center"/>
          </w:tcPr>
          <w:p w14:paraId="1D0E4BC7" w14:textId="2331A03C" w:rsidR="00726B5D" w:rsidRPr="00726B5D" w:rsidRDefault="000A4B31" w:rsidP="00726B5D">
            <w:pPr>
              <w:jc w:val="right"/>
              <w:rPr>
                <w:rFonts w:eastAsia="Times New Roman" w:cs="Calibri"/>
                <w:sz w:val="18"/>
                <w:szCs w:val="18"/>
                <w:lang w:eastAsia="nl-NL"/>
              </w:rPr>
            </w:pPr>
            <w:r>
              <w:rPr>
                <w:rFonts w:eastAsia="Times New Roman" w:cs="Calibri"/>
                <w:sz w:val="18"/>
                <w:szCs w:val="18"/>
                <w:lang w:eastAsia="nl-NL"/>
              </w:rPr>
              <w:t>28</w:t>
            </w:r>
            <w:r w:rsidR="00726B5D" w:rsidRPr="00726B5D">
              <w:rPr>
                <w:rFonts w:eastAsia="Times New Roman" w:cs="Calibri"/>
                <w:sz w:val="18"/>
                <w:szCs w:val="18"/>
                <w:lang w:eastAsia="nl-NL"/>
              </w:rPr>
              <w:t>,</w:t>
            </w:r>
            <w:r>
              <w:rPr>
                <w:rFonts w:eastAsia="Times New Roman" w:cs="Calibri"/>
                <w:sz w:val="18"/>
                <w:szCs w:val="18"/>
                <w:lang w:eastAsia="nl-NL"/>
              </w:rPr>
              <w:t>9</w:t>
            </w:r>
            <w:r w:rsidR="00726B5D" w:rsidRPr="00726B5D">
              <w:rPr>
                <w:rFonts w:eastAsia="Times New Roman" w:cs="Calibri"/>
                <w:sz w:val="18"/>
                <w:szCs w:val="18"/>
                <w:lang w:eastAsia="nl-NL"/>
              </w:rPr>
              <w:t>%</w:t>
            </w:r>
          </w:p>
        </w:tc>
      </w:tr>
      <w:tr w:rsidR="00726B5D" w:rsidRPr="00726B5D" w14:paraId="1FEBF503" w14:textId="4013CCBD" w:rsidTr="00726B5D">
        <w:trPr>
          <w:trHeight w:val="225"/>
        </w:trPr>
        <w:tc>
          <w:tcPr>
            <w:tcW w:w="30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1564D" w14:textId="77777777" w:rsidR="00726B5D" w:rsidRPr="000331D4" w:rsidRDefault="00726B5D" w:rsidP="00726B5D">
            <w:pPr>
              <w:jc w:val="left"/>
              <w:rPr>
                <w:rFonts w:eastAsia="Times New Roman" w:cs="Calibri"/>
                <w:sz w:val="18"/>
                <w:szCs w:val="18"/>
                <w:lang w:eastAsia="nl-NL"/>
              </w:rPr>
            </w:pPr>
            <w:r w:rsidRPr="000331D4">
              <w:rPr>
                <w:rFonts w:eastAsia="Times New Roman" w:cs="Calibri"/>
                <w:sz w:val="18"/>
                <w:szCs w:val="18"/>
                <w:lang w:eastAsia="nl-NL"/>
              </w:rPr>
              <w:t>Hybride</w:t>
            </w:r>
          </w:p>
        </w:tc>
        <w:tc>
          <w:tcPr>
            <w:tcW w:w="1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87FB7" w14:textId="77777777" w:rsidR="00726B5D" w:rsidRPr="000331D4" w:rsidRDefault="00726B5D" w:rsidP="00726B5D">
            <w:pPr>
              <w:jc w:val="right"/>
              <w:rPr>
                <w:rFonts w:eastAsia="Times New Roman" w:cs="Calibri"/>
                <w:sz w:val="18"/>
                <w:szCs w:val="18"/>
                <w:lang w:eastAsia="nl-NL"/>
              </w:rPr>
            </w:pPr>
            <w:r w:rsidRPr="000331D4">
              <w:rPr>
                <w:rFonts w:eastAsia="Times New Roman" w:cs="Calibri"/>
                <w:sz w:val="18"/>
                <w:szCs w:val="18"/>
                <w:lang w:eastAsia="nl-NL"/>
              </w:rPr>
              <w:t>51</w:t>
            </w: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tcPr>
          <w:p w14:paraId="51F879B5" w14:textId="682C857E" w:rsidR="00726B5D" w:rsidRPr="00726B5D" w:rsidRDefault="00726B5D" w:rsidP="00726B5D">
            <w:pPr>
              <w:jc w:val="right"/>
              <w:rPr>
                <w:rFonts w:eastAsia="Times New Roman" w:cs="Calibri"/>
                <w:sz w:val="18"/>
                <w:szCs w:val="18"/>
                <w:lang w:eastAsia="nl-NL"/>
              </w:rPr>
            </w:pPr>
            <w:r w:rsidRPr="00726B5D">
              <w:rPr>
                <w:rFonts w:eastAsia="Times New Roman" w:cs="Calibri"/>
                <w:sz w:val="18"/>
                <w:szCs w:val="18"/>
                <w:lang w:eastAsia="nl-NL"/>
              </w:rPr>
              <w:t>45,1%</w:t>
            </w:r>
          </w:p>
        </w:tc>
        <w:tc>
          <w:tcPr>
            <w:tcW w:w="1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89514" w14:textId="105624E8" w:rsidR="00726B5D" w:rsidRPr="000331D4" w:rsidRDefault="00FE15A8" w:rsidP="00726B5D">
            <w:pPr>
              <w:jc w:val="right"/>
              <w:rPr>
                <w:rFonts w:eastAsia="Times New Roman" w:cs="Calibri"/>
                <w:sz w:val="18"/>
                <w:szCs w:val="18"/>
                <w:lang w:eastAsia="nl-NL"/>
              </w:rPr>
            </w:pPr>
            <w:r>
              <w:rPr>
                <w:rFonts w:eastAsia="Times New Roman" w:cs="Calibri"/>
                <w:sz w:val="18"/>
                <w:szCs w:val="18"/>
                <w:lang w:eastAsia="nl-NL"/>
              </w:rPr>
              <w:t>47</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center"/>
          </w:tcPr>
          <w:p w14:paraId="52A24068" w14:textId="5226BBA4" w:rsidR="00726B5D" w:rsidRPr="00726B5D" w:rsidRDefault="00726B5D" w:rsidP="00726B5D">
            <w:pPr>
              <w:jc w:val="right"/>
              <w:rPr>
                <w:rFonts w:eastAsia="Times New Roman" w:cs="Calibri"/>
                <w:sz w:val="18"/>
                <w:szCs w:val="18"/>
                <w:lang w:eastAsia="nl-NL"/>
              </w:rPr>
            </w:pPr>
            <w:r w:rsidRPr="00726B5D">
              <w:rPr>
                <w:rFonts w:eastAsia="Times New Roman" w:cs="Calibri"/>
                <w:sz w:val="18"/>
                <w:szCs w:val="18"/>
                <w:lang w:eastAsia="nl-NL"/>
              </w:rPr>
              <w:t>33,</w:t>
            </w:r>
            <w:r w:rsidR="000A4B31">
              <w:rPr>
                <w:rFonts w:eastAsia="Times New Roman" w:cs="Calibri"/>
                <w:sz w:val="18"/>
                <w:szCs w:val="18"/>
                <w:lang w:eastAsia="nl-NL"/>
              </w:rPr>
              <w:t>1</w:t>
            </w:r>
            <w:r w:rsidRPr="00726B5D">
              <w:rPr>
                <w:rFonts w:eastAsia="Times New Roman" w:cs="Calibri"/>
                <w:sz w:val="18"/>
                <w:szCs w:val="18"/>
                <w:lang w:eastAsia="nl-NL"/>
              </w:rPr>
              <w:t>%</w:t>
            </w:r>
          </w:p>
        </w:tc>
      </w:tr>
      <w:tr w:rsidR="00726B5D" w:rsidRPr="00726B5D" w14:paraId="37C326A6" w14:textId="194AD034" w:rsidTr="00726B5D">
        <w:trPr>
          <w:trHeight w:val="103"/>
        </w:trPr>
        <w:tc>
          <w:tcPr>
            <w:tcW w:w="30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33846" w14:textId="77777777" w:rsidR="00726B5D" w:rsidRPr="000331D4" w:rsidRDefault="00726B5D" w:rsidP="00726B5D">
            <w:pPr>
              <w:jc w:val="left"/>
              <w:rPr>
                <w:rFonts w:eastAsia="Times New Roman" w:cs="Calibri"/>
                <w:sz w:val="18"/>
                <w:szCs w:val="18"/>
                <w:lang w:eastAsia="nl-NL"/>
              </w:rPr>
            </w:pPr>
            <w:r w:rsidRPr="000331D4">
              <w:rPr>
                <w:rFonts w:eastAsia="Times New Roman" w:cs="Calibri"/>
                <w:sz w:val="18"/>
                <w:szCs w:val="18"/>
                <w:lang w:eastAsia="nl-NL"/>
              </w:rPr>
              <w:t>Benzine</w:t>
            </w:r>
          </w:p>
        </w:tc>
        <w:tc>
          <w:tcPr>
            <w:tcW w:w="1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BA81" w14:textId="77777777" w:rsidR="00726B5D" w:rsidRPr="000331D4" w:rsidRDefault="00726B5D" w:rsidP="00726B5D">
            <w:pPr>
              <w:jc w:val="right"/>
              <w:rPr>
                <w:rFonts w:eastAsia="Times New Roman" w:cs="Calibri"/>
                <w:sz w:val="18"/>
                <w:szCs w:val="18"/>
                <w:lang w:eastAsia="nl-NL"/>
              </w:rPr>
            </w:pPr>
            <w:r w:rsidRPr="000331D4">
              <w:rPr>
                <w:rFonts w:eastAsia="Times New Roman" w:cs="Calibri"/>
                <w:sz w:val="18"/>
                <w:szCs w:val="18"/>
                <w:lang w:eastAsia="nl-NL"/>
              </w:rPr>
              <w:t>2</w:t>
            </w: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tcPr>
          <w:p w14:paraId="456228D4" w14:textId="54705334" w:rsidR="00726B5D" w:rsidRPr="00726B5D" w:rsidRDefault="00726B5D" w:rsidP="00726B5D">
            <w:pPr>
              <w:jc w:val="right"/>
              <w:rPr>
                <w:rFonts w:eastAsia="Times New Roman" w:cs="Calibri"/>
                <w:sz w:val="18"/>
                <w:szCs w:val="18"/>
                <w:lang w:eastAsia="nl-NL"/>
              </w:rPr>
            </w:pPr>
            <w:r w:rsidRPr="00726B5D">
              <w:rPr>
                <w:rFonts w:eastAsia="Times New Roman" w:cs="Calibri"/>
                <w:sz w:val="18"/>
                <w:szCs w:val="18"/>
                <w:lang w:eastAsia="nl-NL"/>
              </w:rPr>
              <w:t>1,8%</w:t>
            </w:r>
          </w:p>
        </w:tc>
        <w:tc>
          <w:tcPr>
            <w:tcW w:w="1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9E857" w14:textId="31BCD755" w:rsidR="00726B5D" w:rsidRPr="000331D4" w:rsidRDefault="008A0227" w:rsidP="00726B5D">
            <w:pPr>
              <w:jc w:val="right"/>
              <w:rPr>
                <w:rFonts w:eastAsia="Times New Roman" w:cs="Calibri"/>
                <w:sz w:val="18"/>
                <w:szCs w:val="18"/>
                <w:lang w:eastAsia="nl-NL"/>
              </w:rPr>
            </w:pPr>
            <w:r>
              <w:rPr>
                <w:rFonts w:eastAsia="Times New Roman" w:cs="Calibri"/>
                <w:sz w:val="18"/>
                <w:szCs w:val="18"/>
                <w:lang w:eastAsia="nl-NL"/>
              </w:rPr>
              <w:t>7</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center"/>
          </w:tcPr>
          <w:p w14:paraId="66222358" w14:textId="0050B455" w:rsidR="00726B5D" w:rsidRPr="00726B5D" w:rsidRDefault="000A4B31" w:rsidP="00726B5D">
            <w:pPr>
              <w:jc w:val="right"/>
              <w:rPr>
                <w:rFonts w:eastAsia="Times New Roman" w:cs="Calibri"/>
                <w:sz w:val="18"/>
                <w:szCs w:val="18"/>
                <w:lang w:eastAsia="nl-NL"/>
              </w:rPr>
            </w:pPr>
            <w:r>
              <w:rPr>
                <w:rFonts w:eastAsia="Times New Roman" w:cs="Calibri"/>
                <w:sz w:val="18"/>
                <w:szCs w:val="18"/>
                <w:lang w:eastAsia="nl-NL"/>
              </w:rPr>
              <w:t>4,9</w:t>
            </w:r>
            <w:r w:rsidR="00726B5D" w:rsidRPr="00726B5D">
              <w:rPr>
                <w:rFonts w:eastAsia="Times New Roman" w:cs="Calibri"/>
                <w:sz w:val="18"/>
                <w:szCs w:val="18"/>
                <w:lang w:eastAsia="nl-NL"/>
              </w:rPr>
              <w:t>%</w:t>
            </w:r>
          </w:p>
        </w:tc>
      </w:tr>
      <w:tr w:rsidR="00726B5D" w:rsidRPr="00726B5D" w14:paraId="5C2FCD27" w14:textId="4B02AC36" w:rsidTr="00726B5D">
        <w:trPr>
          <w:trHeight w:val="57"/>
        </w:trPr>
        <w:tc>
          <w:tcPr>
            <w:tcW w:w="30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AE8E5D" w14:textId="77777777" w:rsidR="00726B5D" w:rsidRPr="000331D4" w:rsidRDefault="00726B5D" w:rsidP="00726B5D">
            <w:pPr>
              <w:jc w:val="left"/>
              <w:rPr>
                <w:rFonts w:eastAsia="Times New Roman" w:cs="Calibri"/>
                <w:sz w:val="18"/>
                <w:szCs w:val="18"/>
                <w:lang w:eastAsia="nl-NL"/>
              </w:rPr>
            </w:pPr>
            <w:r w:rsidRPr="000331D4">
              <w:rPr>
                <w:rFonts w:eastAsia="Times New Roman" w:cs="Calibri"/>
                <w:sz w:val="18"/>
                <w:szCs w:val="18"/>
                <w:lang w:eastAsia="nl-NL"/>
              </w:rPr>
              <w:t>Diesel</w:t>
            </w:r>
          </w:p>
        </w:tc>
        <w:tc>
          <w:tcPr>
            <w:tcW w:w="1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85A61" w14:textId="77777777" w:rsidR="00726B5D" w:rsidRPr="000331D4" w:rsidRDefault="00726B5D" w:rsidP="00726B5D">
            <w:pPr>
              <w:jc w:val="right"/>
              <w:rPr>
                <w:rFonts w:eastAsia="Times New Roman" w:cs="Calibri"/>
                <w:sz w:val="18"/>
                <w:szCs w:val="18"/>
                <w:lang w:eastAsia="nl-NL"/>
              </w:rPr>
            </w:pPr>
            <w:r w:rsidRPr="000331D4">
              <w:rPr>
                <w:rFonts w:eastAsia="Times New Roman" w:cs="Calibri"/>
                <w:sz w:val="18"/>
                <w:szCs w:val="18"/>
                <w:lang w:eastAsia="nl-NL"/>
              </w:rPr>
              <w:t>46</w:t>
            </w: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tcPr>
          <w:p w14:paraId="3A97EFDA" w14:textId="74B0D444" w:rsidR="00726B5D" w:rsidRPr="00726B5D" w:rsidRDefault="00726B5D" w:rsidP="00726B5D">
            <w:pPr>
              <w:jc w:val="right"/>
              <w:rPr>
                <w:rFonts w:eastAsia="Times New Roman" w:cs="Calibri"/>
                <w:sz w:val="18"/>
                <w:szCs w:val="18"/>
                <w:lang w:eastAsia="nl-NL"/>
              </w:rPr>
            </w:pPr>
            <w:r w:rsidRPr="00726B5D">
              <w:rPr>
                <w:rFonts w:eastAsia="Times New Roman" w:cs="Calibri"/>
                <w:sz w:val="18"/>
                <w:szCs w:val="18"/>
                <w:lang w:eastAsia="nl-NL"/>
              </w:rPr>
              <w:t>40,7%</w:t>
            </w:r>
          </w:p>
        </w:tc>
        <w:tc>
          <w:tcPr>
            <w:tcW w:w="1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017DA" w14:textId="16A45D31" w:rsidR="00726B5D" w:rsidRPr="000331D4" w:rsidRDefault="00726B5D" w:rsidP="00726B5D">
            <w:pPr>
              <w:jc w:val="right"/>
              <w:rPr>
                <w:rFonts w:eastAsia="Times New Roman" w:cs="Calibri"/>
                <w:sz w:val="18"/>
                <w:szCs w:val="18"/>
                <w:lang w:eastAsia="nl-NL"/>
              </w:rPr>
            </w:pPr>
            <w:r w:rsidRPr="000331D4">
              <w:rPr>
                <w:rFonts w:eastAsia="Times New Roman" w:cs="Calibri"/>
                <w:sz w:val="18"/>
                <w:szCs w:val="18"/>
                <w:lang w:eastAsia="nl-NL"/>
              </w:rPr>
              <w:t>47</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center"/>
          </w:tcPr>
          <w:p w14:paraId="40956AC2" w14:textId="13B681E8" w:rsidR="00726B5D" w:rsidRPr="00726B5D" w:rsidRDefault="000A4B31" w:rsidP="00726B5D">
            <w:pPr>
              <w:jc w:val="right"/>
              <w:rPr>
                <w:rFonts w:eastAsia="Times New Roman" w:cs="Calibri"/>
                <w:sz w:val="18"/>
                <w:szCs w:val="18"/>
                <w:lang w:eastAsia="nl-NL"/>
              </w:rPr>
            </w:pPr>
            <w:r>
              <w:rPr>
                <w:rFonts w:eastAsia="Times New Roman" w:cs="Calibri"/>
                <w:sz w:val="18"/>
                <w:szCs w:val="18"/>
                <w:lang w:eastAsia="nl-NL"/>
              </w:rPr>
              <w:t>33</w:t>
            </w:r>
            <w:r w:rsidR="00726B5D" w:rsidRPr="00726B5D">
              <w:rPr>
                <w:rFonts w:eastAsia="Times New Roman" w:cs="Calibri"/>
                <w:sz w:val="18"/>
                <w:szCs w:val="18"/>
                <w:lang w:eastAsia="nl-NL"/>
              </w:rPr>
              <w:t>,</w:t>
            </w:r>
            <w:r>
              <w:rPr>
                <w:rFonts w:eastAsia="Times New Roman" w:cs="Calibri"/>
                <w:sz w:val="18"/>
                <w:szCs w:val="18"/>
                <w:lang w:eastAsia="nl-NL"/>
              </w:rPr>
              <w:t>1</w:t>
            </w:r>
            <w:r w:rsidR="00726B5D" w:rsidRPr="00726B5D">
              <w:rPr>
                <w:rFonts w:eastAsia="Times New Roman" w:cs="Calibri"/>
                <w:sz w:val="18"/>
                <w:szCs w:val="18"/>
                <w:lang w:eastAsia="nl-NL"/>
              </w:rPr>
              <w:t>%</w:t>
            </w:r>
          </w:p>
        </w:tc>
      </w:tr>
      <w:tr w:rsidR="00726B5D" w:rsidRPr="00726B5D" w14:paraId="6AF6445F" w14:textId="505A1AA7" w:rsidTr="006252EE">
        <w:trPr>
          <w:trHeight w:val="48"/>
        </w:trPr>
        <w:tc>
          <w:tcPr>
            <w:tcW w:w="30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8296B" w14:textId="77777777" w:rsidR="00726B5D" w:rsidRPr="000331D4" w:rsidRDefault="00726B5D" w:rsidP="00726B5D">
            <w:pPr>
              <w:jc w:val="left"/>
              <w:rPr>
                <w:rFonts w:eastAsia="Times New Roman" w:cs="Calibri"/>
                <w:b/>
                <w:bCs/>
                <w:sz w:val="18"/>
                <w:szCs w:val="18"/>
                <w:lang w:eastAsia="nl-NL"/>
              </w:rPr>
            </w:pPr>
            <w:r w:rsidRPr="000331D4">
              <w:rPr>
                <w:rFonts w:eastAsia="Times New Roman" w:cs="Calibri"/>
                <w:b/>
                <w:bCs/>
                <w:sz w:val="18"/>
                <w:szCs w:val="18"/>
                <w:lang w:eastAsia="nl-NL"/>
              </w:rPr>
              <w:t>Totaal</w:t>
            </w:r>
          </w:p>
        </w:tc>
        <w:tc>
          <w:tcPr>
            <w:tcW w:w="1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99E7F" w14:textId="77777777" w:rsidR="00726B5D" w:rsidRPr="000331D4" w:rsidRDefault="00726B5D" w:rsidP="00726B5D">
            <w:pPr>
              <w:jc w:val="right"/>
              <w:rPr>
                <w:rFonts w:eastAsia="Times New Roman" w:cs="Calibri"/>
                <w:b/>
                <w:bCs/>
                <w:sz w:val="18"/>
                <w:szCs w:val="18"/>
                <w:lang w:eastAsia="nl-NL"/>
              </w:rPr>
            </w:pPr>
            <w:r w:rsidRPr="000331D4">
              <w:rPr>
                <w:rFonts w:eastAsia="Times New Roman" w:cs="Calibri"/>
                <w:b/>
                <w:bCs/>
                <w:sz w:val="18"/>
                <w:szCs w:val="18"/>
                <w:lang w:eastAsia="nl-NL"/>
              </w:rPr>
              <w:t>113</w:t>
            </w: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tcPr>
          <w:p w14:paraId="77E11132" w14:textId="7D363684" w:rsidR="00726B5D" w:rsidRPr="00726B5D" w:rsidRDefault="00726B5D" w:rsidP="00726B5D">
            <w:pPr>
              <w:jc w:val="right"/>
              <w:rPr>
                <w:rFonts w:eastAsia="Times New Roman" w:cs="Calibri"/>
                <w:b/>
                <w:bCs/>
                <w:sz w:val="18"/>
                <w:szCs w:val="18"/>
                <w:lang w:eastAsia="nl-NL"/>
              </w:rPr>
            </w:pPr>
            <w:r w:rsidRPr="00726B5D">
              <w:rPr>
                <w:rFonts w:eastAsia="Times New Roman" w:cs="Calibri"/>
                <w:b/>
                <w:bCs/>
                <w:sz w:val="18"/>
                <w:szCs w:val="18"/>
                <w:lang w:eastAsia="nl-NL"/>
              </w:rPr>
              <w:t>100%</w:t>
            </w:r>
          </w:p>
        </w:tc>
        <w:tc>
          <w:tcPr>
            <w:tcW w:w="16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269EB" w14:textId="22F3A3D6" w:rsidR="00726B5D" w:rsidRPr="000331D4" w:rsidRDefault="00726B5D" w:rsidP="00726B5D">
            <w:pPr>
              <w:jc w:val="right"/>
              <w:rPr>
                <w:rFonts w:eastAsia="Times New Roman" w:cs="Calibri"/>
                <w:b/>
                <w:bCs/>
                <w:sz w:val="18"/>
                <w:szCs w:val="18"/>
                <w:lang w:eastAsia="nl-NL"/>
              </w:rPr>
            </w:pPr>
            <w:r w:rsidRPr="000331D4">
              <w:rPr>
                <w:rFonts w:eastAsia="Times New Roman" w:cs="Calibri"/>
                <w:b/>
                <w:bCs/>
                <w:sz w:val="18"/>
                <w:szCs w:val="18"/>
                <w:lang w:eastAsia="nl-NL"/>
              </w:rPr>
              <w:t>89</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center"/>
          </w:tcPr>
          <w:p w14:paraId="2BBD4FA9" w14:textId="5C1348EB" w:rsidR="00726B5D" w:rsidRPr="00726B5D" w:rsidRDefault="00726B5D" w:rsidP="00726B5D">
            <w:pPr>
              <w:jc w:val="right"/>
              <w:rPr>
                <w:rFonts w:eastAsia="Times New Roman" w:cs="Calibri"/>
                <w:b/>
                <w:bCs/>
                <w:sz w:val="18"/>
                <w:szCs w:val="18"/>
                <w:lang w:eastAsia="nl-NL"/>
              </w:rPr>
            </w:pPr>
            <w:r w:rsidRPr="00726B5D">
              <w:rPr>
                <w:rFonts w:eastAsia="Times New Roman" w:cs="Calibri"/>
                <w:b/>
                <w:bCs/>
                <w:sz w:val="18"/>
                <w:szCs w:val="18"/>
                <w:lang w:eastAsia="nl-NL"/>
              </w:rPr>
              <w:t>100%</w:t>
            </w:r>
          </w:p>
        </w:tc>
      </w:tr>
    </w:tbl>
    <w:p w14:paraId="34425456" w14:textId="77777777" w:rsidR="000331D4" w:rsidRPr="00726B5D" w:rsidRDefault="000331D4" w:rsidP="00FB12D2">
      <w:pPr>
        <w:rPr>
          <w:color w:val="ED7D31" w:themeColor="accent2"/>
          <w:sz w:val="14"/>
          <w:szCs w:val="18"/>
        </w:rPr>
      </w:pPr>
    </w:p>
    <w:p w14:paraId="0881FFCE" w14:textId="48DE27F8" w:rsidR="0047751A" w:rsidRPr="00522956" w:rsidRDefault="0047751A" w:rsidP="001A14E7">
      <w:pPr>
        <w:rPr>
          <w:color w:val="ED7D31" w:themeColor="accent2"/>
        </w:rPr>
      </w:pPr>
    </w:p>
    <w:p w14:paraId="7695D315" w14:textId="77777777" w:rsidR="0047751A" w:rsidRPr="00522956" w:rsidRDefault="0047751A" w:rsidP="001A14E7">
      <w:pPr>
        <w:rPr>
          <w:color w:val="ED7D31" w:themeColor="accent2"/>
        </w:rPr>
      </w:pPr>
    </w:p>
    <w:p w14:paraId="10237EB9" w14:textId="3AE22A03" w:rsidR="00A2796D" w:rsidRPr="00EF27C9" w:rsidRDefault="00A2796D" w:rsidP="00A2796D">
      <w:r w:rsidRPr="00EF27C9">
        <w:t xml:space="preserve">Het huidige wagenpark telt </w:t>
      </w:r>
      <w:r w:rsidR="000A4B31" w:rsidRPr="00EF27C9">
        <w:t>1</w:t>
      </w:r>
      <w:r w:rsidR="0036426E" w:rsidRPr="00EF27C9">
        <w:t xml:space="preserve">42 </w:t>
      </w:r>
      <w:r w:rsidRPr="00EF27C9">
        <w:t xml:space="preserve">voertuigen, waarvan </w:t>
      </w:r>
      <w:r w:rsidR="004673EB" w:rsidRPr="00EF27C9">
        <w:t xml:space="preserve">53 </w:t>
      </w:r>
      <w:r w:rsidRPr="00EF27C9">
        <w:t>personenauto's en 8</w:t>
      </w:r>
      <w:r w:rsidR="0029777B" w:rsidRPr="00EF27C9">
        <w:t>9</w:t>
      </w:r>
      <w:r w:rsidRPr="00EF27C9">
        <w:t xml:space="preserve"> bedrijfsauto's, wat vrijwel overeenkomt met het aantal voertuigen van vorig jaar. Ter vergelijking: in de voorgaande jaren bestond het wagenpark uit</w:t>
      </w:r>
      <w:r w:rsidR="00382B74" w:rsidRPr="00EF27C9">
        <w:t xml:space="preserve"> 113 wagens in 2023,</w:t>
      </w:r>
      <w:r w:rsidRPr="00EF27C9">
        <w:t xml:space="preserve"> 111 wagens in 2022, 136 in 2021, en 152 in 2020. </w:t>
      </w:r>
      <w:r w:rsidR="00382B74" w:rsidRPr="00EF27C9">
        <w:t>Na een a</w:t>
      </w:r>
      <w:r w:rsidRPr="00EF27C9">
        <w:t>fname van het aantal voertuigen</w:t>
      </w:r>
      <w:r w:rsidR="00382B74" w:rsidRPr="00EF27C9">
        <w:t xml:space="preserve"> door de reorganisatie</w:t>
      </w:r>
      <w:r w:rsidRPr="00EF27C9">
        <w:t xml:space="preserve"> in 2020 en 2021</w:t>
      </w:r>
      <w:r w:rsidR="00382B74" w:rsidRPr="00EF27C9">
        <w:t>,</w:t>
      </w:r>
      <w:r w:rsidRPr="00EF27C9">
        <w:t xml:space="preserve"> </w:t>
      </w:r>
      <w:r w:rsidR="00382B74" w:rsidRPr="00EF27C9">
        <w:t>neemt nu het aantal voertuigen dus weer toe.</w:t>
      </w:r>
      <w:r w:rsidR="00C0583B">
        <w:t xml:space="preserve"> Het aandeel van elektrische voertuigen zal ook stijgen doordat de organisatie gaat inzetten op elektrische hoogwerkers, waarbij zij dit in 2029 volledig elektrisch willen hebben. </w:t>
      </w:r>
    </w:p>
    <w:p w14:paraId="3CC1426B" w14:textId="77777777" w:rsidR="00A2796D" w:rsidRPr="00EF27C9" w:rsidRDefault="00A2796D" w:rsidP="00A2796D"/>
    <w:p w14:paraId="7FBF2038" w14:textId="69C8C371" w:rsidR="0047751A" w:rsidRPr="00EF27C9" w:rsidRDefault="00A2796D" w:rsidP="00A2796D">
      <w:r w:rsidRPr="00EF27C9">
        <w:t xml:space="preserve">Deze </w:t>
      </w:r>
      <w:r w:rsidR="00724CF5" w:rsidRPr="00EF27C9">
        <w:t>uitbreiding</w:t>
      </w:r>
      <w:r w:rsidRPr="00EF27C9">
        <w:t xml:space="preserve"> van het wagenpark is ook merkbaar in het brandstofverbruik</w:t>
      </w:r>
      <w:r w:rsidR="00396453" w:rsidRPr="00EF27C9">
        <w:t>. Hoewel het dieselverbruik licht gestegen is,</w:t>
      </w:r>
      <w:r w:rsidRPr="00EF27C9">
        <w:t xml:space="preserve"> is een opvallende afname van het benzineverbrui</w:t>
      </w:r>
      <w:r w:rsidR="00396453" w:rsidRPr="00EF27C9">
        <w:t xml:space="preserve">k. Het belangrijkste verschil zit echter in de </w:t>
      </w:r>
      <w:r w:rsidR="00C360CD" w:rsidRPr="00EF27C9">
        <w:t>grote stijging van</w:t>
      </w:r>
      <w:r w:rsidRPr="00EF27C9">
        <w:t xml:space="preserve"> elektriciteitsverbruik</w:t>
      </w:r>
      <w:r w:rsidR="00C360CD" w:rsidRPr="00EF27C9">
        <w:t xml:space="preserve">. In 2024 </w:t>
      </w:r>
      <w:r w:rsidR="003C31BE" w:rsidRPr="00EF27C9">
        <w:t xml:space="preserve">had CityTec </w:t>
      </w:r>
      <w:r w:rsidR="002C542C" w:rsidRPr="00EF27C9">
        <w:t xml:space="preserve">41 elektrische wagens in het wagenpark, </w:t>
      </w:r>
      <w:r w:rsidR="00C360CD" w:rsidRPr="00EF27C9">
        <w:t xml:space="preserve"> </w:t>
      </w:r>
      <w:r w:rsidR="00496FC6" w:rsidRPr="00EF27C9">
        <w:t xml:space="preserve">tegenover 14 in het jaar ervoor. </w:t>
      </w:r>
      <w:r w:rsidR="00943798" w:rsidRPr="00EF27C9">
        <w:t xml:space="preserve">Dit betekent bijna een verdrievoudiging van het aantal elektrische wagens, </w:t>
      </w:r>
      <w:r w:rsidR="002D7550" w:rsidRPr="00EF27C9">
        <w:t>wat ook terug te zien is in het aantal verbruikte kilowatturen. Deze is vrijwel verviervoudigd van 24.669 kWh naar 98.485 kWh.</w:t>
      </w:r>
      <w:r w:rsidR="00BC10BA" w:rsidRPr="00EF27C9">
        <w:t xml:space="preserve"> </w:t>
      </w:r>
      <w:r w:rsidRPr="00EF27C9">
        <w:t>Dit is positief voor de CO</w:t>
      </w:r>
      <w:r w:rsidRPr="00EF27C9">
        <w:rPr>
          <w:vertAlign w:val="subscript"/>
        </w:rPr>
        <w:t>2</w:t>
      </w:r>
      <w:r w:rsidRPr="00EF27C9">
        <w:t>-emissies, aangezien het overstappen naar elektrische voertuigen bijdraagt aan een verlaging van de uitstoot.</w:t>
      </w:r>
      <w:r w:rsidR="002F5BC6" w:rsidRPr="00EF27C9">
        <w:t xml:space="preserve"> </w:t>
      </w:r>
    </w:p>
    <w:p w14:paraId="7A2104BD" w14:textId="77777777" w:rsidR="00C05894" w:rsidRDefault="00C05894" w:rsidP="00A2796D"/>
    <w:tbl>
      <w:tblPr>
        <w:tblStyle w:val="Tabelraster"/>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2183"/>
        <w:gridCol w:w="1460"/>
        <w:gridCol w:w="1364"/>
        <w:gridCol w:w="1362"/>
        <w:gridCol w:w="1418"/>
        <w:gridCol w:w="1417"/>
      </w:tblGrid>
      <w:tr w:rsidR="00D1228B" w14:paraId="128AD1AA" w14:textId="489491E9" w:rsidTr="00D1228B">
        <w:tc>
          <w:tcPr>
            <w:tcW w:w="2183" w:type="dxa"/>
            <w:shd w:val="clear" w:color="auto" w:fill="6BBE93"/>
          </w:tcPr>
          <w:p w14:paraId="5D654B91" w14:textId="2DC3AE20" w:rsidR="00D1228B" w:rsidRPr="00A93CB3" w:rsidRDefault="00D1228B" w:rsidP="00A2796D">
            <w:pPr>
              <w:rPr>
                <w:b/>
                <w:bCs/>
                <w:color w:val="FFFFFF"/>
              </w:rPr>
            </w:pPr>
            <w:r w:rsidRPr="00A93CB3">
              <w:rPr>
                <w:b/>
                <w:bCs/>
                <w:color w:val="FFFFFF"/>
              </w:rPr>
              <w:t>Brandstoftype</w:t>
            </w:r>
          </w:p>
        </w:tc>
        <w:tc>
          <w:tcPr>
            <w:tcW w:w="1460" w:type="dxa"/>
            <w:shd w:val="clear" w:color="auto" w:fill="6BBE93"/>
          </w:tcPr>
          <w:p w14:paraId="1210ED25" w14:textId="547DA24D" w:rsidR="00D1228B" w:rsidRPr="00A93CB3" w:rsidRDefault="00D1228B" w:rsidP="00A2796D">
            <w:pPr>
              <w:rPr>
                <w:b/>
                <w:bCs/>
                <w:color w:val="FFFFFF"/>
              </w:rPr>
            </w:pPr>
            <w:r w:rsidRPr="00A93CB3">
              <w:rPr>
                <w:b/>
                <w:bCs/>
                <w:color w:val="FFFFFF"/>
              </w:rPr>
              <w:t>2020</w:t>
            </w:r>
          </w:p>
        </w:tc>
        <w:tc>
          <w:tcPr>
            <w:tcW w:w="1364" w:type="dxa"/>
            <w:shd w:val="clear" w:color="auto" w:fill="6BBE93"/>
          </w:tcPr>
          <w:p w14:paraId="2E665466" w14:textId="0211AD2A" w:rsidR="00D1228B" w:rsidRPr="00A93CB3" w:rsidRDefault="00D1228B" w:rsidP="00A2796D">
            <w:pPr>
              <w:rPr>
                <w:b/>
                <w:bCs/>
                <w:color w:val="FFFFFF"/>
              </w:rPr>
            </w:pPr>
            <w:r w:rsidRPr="00A93CB3">
              <w:rPr>
                <w:b/>
                <w:bCs/>
                <w:color w:val="FFFFFF"/>
              </w:rPr>
              <w:t>2021</w:t>
            </w:r>
          </w:p>
        </w:tc>
        <w:tc>
          <w:tcPr>
            <w:tcW w:w="1362" w:type="dxa"/>
            <w:shd w:val="clear" w:color="auto" w:fill="6BBE93"/>
          </w:tcPr>
          <w:p w14:paraId="26C08A20" w14:textId="2AB77EAF" w:rsidR="00D1228B" w:rsidRPr="00A93CB3" w:rsidRDefault="00D1228B" w:rsidP="00A2796D">
            <w:pPr>
              <w:rPr>
                <w:b/>
                <w:bCs/>
                <w:color w:val="FFFFFF"/>
              </w:rPr>
            </w:pPr>
            <w:r w:rsidRPr="00A93CB3">
              <w:rPr>
                <w:b/>
                <w:bCs/>
                <w:color w:val="FFFFFF"/>
              </w:rPr>
              <w:t>2022</w:t>
            </w:r>
          </w:p>
        </w:tc>
        <w:tc>
          <w:tcPr>
            <w:tcW w:w="1418" w:type="dxa"/>
            <w:shd w:val="clear" w:color="auto" w:fill="6BBE93"/>
          </w:tcPr>
          <w:p w14:paraId="437FA286" w14:textId="533063B8" w:rsidR="00D1228B" w:rsidRPr="00A93CB3" w:rsidRDefault="00D1228B" w:rsidP="00A2796D">
            <w:pPr>
              <w:rPr>
                <w:b/>
                <w:bCs/>
                <w:color w:val="FFFFFF"/>
              </w:rPr>
            </w:pPr>
            <w:r w:rsidRPr="00A93CB3">
              <w:rPr>
                <w:b/>
                <w:bCs/>
                <w:color w:val="FFFFFF"/>
              </w:rPr>
              <w:t>2023</w:t>
            </w:r>
          </w:p>
        </w:tc>
        <w:tc>
          <w:tcPr>
            <w:tcW w:w="1417" w:type="dxa"/>
            <w:shd w:val="clear" w:color="auto" w:fill="6BBE93"/>
          </w:tcPr>
          <w:p w14:paraId="06AE775F" w14:textId="726B5B01" w:rsidR="00D1228B" w:rsidRPr="00A93CB3" w:rsidRDefault="00D1228B" w:rsidP="00A2796D">
            <w:pPr>
              <w:rPr>
                <w:b/>
                <w:bCs/>
                <w:color w:val="FFFFFF"/>
              </w:rPr>
            </w:pPr>
            <w:r>
              <w:rPr>
                <w:b/>
                <w:bCs/>
                <w:color w:val="FFFFFF"/>
              </w:rPr>
              <w:t>2024</w:t>
            </w:r>
          </w:p>
        </w:tc>
      </w:tr>
      <w:tr w:rsidR="00D1228B" w14:paraId="12959049" w14:textId="2535B612" w:rsidTr="00D1228B">
        <w:tc>
          <w:tcPr>
            <w:tcW w:w="2183" w:type="dxa"/>
            <w:shd w:val="clear" w:color="auto" w:fill="F2F2F2" w:themeFill="background1" w:themeFillShade="F2"/>
          </w:tcPr>
          <w:p w14:paraId="729A1835" w14:textId="556A9CD3" w:rsidR="00D1228B" w:rsidRDefault="00D1228B" w:rsidP="00BD66E0">
            <w:r>
              <w:t>Diesel</w:t>
            </w:r>
          </w:p>
        </w:tc>
        <w:tc>
          <w:tcPr>
            <w:tcW w:w="1460" w:type="dxa"/>
            <w:shd w:val="clear" w:color="auto" w:fill="F2F2F2" w:themeFill="background1" w:themeFillShade="F2"/>
          </w:tcPr>
          <w:p w14:paraId="1C9FA4F7" w14:textId="674B13A6" w:rsidR="00D1228B" w:rsidRDefault="00D1228B" w:rsidP="00BD66E0">
            <w:r w:rsidRPr="004E0CF3">
              <w:rPr>
                <w:rFonts w:eastAsia="Times New Roman" w:cs="Arial"/>
                <w:sz w:val="18"/>
                <w:szCs w:val="18"/>
                <w:lang w:eastAsia="nl-NL"/>
              </w:rPr>
              <w:t>282.535</w:t>
            </w:r>
            <w:r>
              <w:rPr>
                <w:rFonts w:eastAsia="Times New Roman" w:cs="Arial"/>
                <w:sz w:val="18"/>
                <w:szCs w:val="18"/>
                <w:lang w:eastAsia="nl-NL"/>
              </w:rPr>
              <w:t xml:space="preserve"> l</w:t>
            </w:r>
          </w:p>
        </w:tc>
        <w:tc>
          <w:tcPr>
            <w:tcW w:w="1364" w:type="dxa"/>
            <w:shd w:val="clear" w:color="auto" w:fill="F2F2F2" w:themeFill="background1" w:themeFillShade="F2"/>
            <w:vAlign w:val="center"/>
          </w:tcPr>
          <w:p w14:paraId="33884703" w14:textId="49C4EE02" w:rsidR="00D1228B" w:rsidRDefault="00D1228B" w:rsidP="00BD66E0">
            <w:r w:rsidRPr="00DD72EC">
              <w:rPr>
                <w:rFonts w:eastAsia="Times New Roman" w:cs="Arial"/>
                <w:sz w:val="18"/>
                <w:szCs w:val="18"/>
                <w:lang w:eastAsia="nl-NL"/>
              </w:rPr>
              <w:t>269.562</w:t>
            </w:r>
            <w:r>
              <w:rPr>
                <w:rFonts w:eastAsia="Times New Roman" w:cs="Arial"/>
                <w:sz w:val="18"/>
                <w:szCs w:val="18"/>
                <w:lang w:eastAsia="nl-NL"/>
              </w:rPr>
              <w:t xml:space="preserve"> l</w:t>
            </w:r>
          </w:p>
        </w:tc>
        <w:tc>
          <w:tcPr>
            <w:tcW w:w="1362" w:type="dxa"/>
            <w:shd w:val="clear" w:color="auto" w:fill="F2F2F2" w:themeFill="background1" w:themeFillShade="F2"/>
          </w:tcPr>
          <w:p w14:paraId="0E19092C" w14:textId="2A15FB0F" w:rsidR="00D1228B" w:rsidRDefault="00D1228B" w:rsidP="00BD66E0">
            <w:r>
              <w:rPr>
                <w:rFonts w:eastAsia="Times New Roman" w:cs="Arial"/>
                <w:sz w:val="18"/>
                <w:szCs w:val="18"/>
                <w:lang w:eastAsia="nl-NL"/>
              </w:rPr>
              <w:t>249.225 l</w:t>
            </w:r>
          </w:p>
        </w:tc>
        <w:tc>
          <w:tcPr>
            <w:tcW w:w="1418" w:type="dxa"/>
            <w:shd w:val="clear" w:color="auto" w:fill="F2F2F2" w:themeFill="background1" w:themeFillShade="F2"/>
          </w:tcPr>
          <w:p w14:paraId="7181909B" w14:textId="5B7125D1" w:rsidR="00D1228B" w:rsidRDefault="00D1228B" w:rsidP="00BD66E0">
            <w:r>
              <w:t>208.475 l</w:t>
            </w:r>
          </w:p>
        </w:tc>
        <w:tc>
          <w:tcPr>
            <w:tcW w:w="1417" w:type="dxa"/>
            <w:shd w:val="clear" w:color="auto" w:fill="F2F2F2" w:themeFill="background1" w:themeFillShade="F2"/>
          </w:tcPr>
          <w:p w14:paraId="18969B2C" w14:textId="2B573244" w:rsidR="00D1228B" w:rsidRDefault="00746AA9" w:rsidP="00BD66E0">
            <w:r w:rsidRPr="00746AA9">
              <w:t>214.258</w:t>
            </w:r>
            <w:r>
              <w:t xml:space="preserve"> l</w:t>
            </w:r>
          </w:p>
        </w:tc>
      </w:tr>
      <w:tr w:rsidR="00D1228B" w14:paraId="5C44CAEE" w14:textId="62A9BE55" w:rsidTr="00D1228B">
        <w:tc>
          <w:tcPr>
            <w:tcW w:w="2183" w:type="dxa"/>
            <w:shd w:val="clear" w:color="auto" w:fill="F2F2F2" w:themeFill="background1" w:themeFillShade="F2"/>
          </w:tcPr>
          <w:p w14:paraId="0ECCEB4F" w14:textId="45548858" w:rsidR="00D1228B" w:rsidRDefault="00D1228B" w:rsidP="00BD66E0">
            <w:r>
              <w:t>Benzine</w:t>
            </w:r>
          </w:p>
        </w:tc>
        <w:tc>
          <w:tcPr>
            <w:tcW w:w="1460" w:type="dxa"/>
            <w:shd w:val="clear" w:color="auto" w:fill="F2F2F2" w:themeFill="background1" w:themeFillShade="F2"/>
          </w:tcPr>
          <w:p w14:paraId="666BDE4F" w14:textId="4A2A22C3" w:rsidR="00D1228B" w:rsidRDefault="00D1228B" w:rsidP="00BD66E0">
            <w:r w:rsidRPr="004E0CF3">
              <w:rPr>
                <w:rFonts w:eastAsia="Times New Roman" w:cs="Arial"/>
                <w:sz w:val="18"/>
                <w:szCs w:val="18"/>
                <w:lang w:eastAsia="nl-NL"/>
              </w:rPr>
              <w:t>49.335</w:t>
            </w:r>
            <w:r>
              <w:rPr>
                <w:rFonts w:eastAsia="Times New Roman" w:cs="Arial"/>
                <w:sz w:val="18"/>
                <w:szCs w:val="18"/>
                <w:lang w:eastAsia="nl-NL"/>
              </w:rPr>
              <w:t xml:space="preserve"> l</w:t>
            </w:r>
          </w:p>
        </w:tc>
        <w:tc>
          <w:tcPr>
            <w:tcW w:w="1364" w:type="dxa"/>
            <w:shd w:val="clear" w:color="auto" w:fill="F2F2F2" w:themeFill="background1" w:themeFillShade="F2"/>
          </w:tcPr>
          <w:p w14:paraId="533C67C5" w14:textId="31D2464E" w:rsidR="00D1228B" w:rsidRDefault="00D1228B" w:rsidP="00BD66E0">
            <w:r w:rsidRPr="00DD72EC">
              <w:rPr>
                <w:rFonts w:eastAsia="Times New Roman" w:cs="Arial"/>
                <w:sz w:val="18"/>
                <w:szCs w:val="18"/>
                <w:lang w:eastAsia="nl-NL"/>
              </w:rPr>
              <w:t>48.3</w:t>
            </w:r>
            <w:r>
              <w:rPr>
                <w:rFonts w:eastAsia="Times New Roman" w:cs="Arial"/>
                <w:sz w:val="18"/>
                <w:szCs w:val="18"/>
                <w:lang w:eastAsia="nl-NL"/>
              </w:rPr>
              <w:t>21 l</w:t>
            </w:r>
          </w:p>
        </w:tc>
        <w:tc>
          <w:tcPr>
            <w:tcW w:w="1362" w:type="dxa"/>
            <w:shd w:val="clear" w:color="auto" w:fill="F2F2F2" w:themeFill="background1" w:themeFillShade="F2"/>
          </w:tcPr>
          <w:p w14:paraId="4F65E00F" w14:textId="61D9219C" w:rsidR="00D1228B" w:rsidRDefault="00D1228B" w:rsidP="00BD66E0">
            <w:r w:rsidRPr="00DD72EC">
              <w:rPr>
                <w:rFonts w:eastAsia="Times New Roman" w:cs="Arial"/>
                <w:sz w:val="18"/>
                <w:szCs w:val="18"/>
                <w:lang w:eastAsia="nl-NL"/>
              </w:rPr>
              <w:t>4</w:t>
            </w:r>
            <w:r>
              <w:rPr>
                <w:rFonts w:eastAsia="Times New Roman" w:cs="Arial"/>
                <w:sz w:val="18"/>
                <w:szCs w:val="18"/>
                <w:lang w:eastAsia="nl-NL"/>
              </w:rPr>
              <w:t xml:space="preserve">0.172 l </w:t>
            </w:r>
          </w:p>
        </w:tc>
        <w:tc>
          <w:tcPr>
            <w:tcW w:w="1418" w:type="dxa"/>
            <w:shd w:val="clear" w:color="auto" w:fill="F2F2F2" w:themeFill="background1" w:themeFillShade="F2"/>
          </w:tcPr>
          <w:p w14:paraId="12518415" w14:textId="097BED0C" w:rsidR="00D1228B" w:rsidRDefault="00D1228B" w:rsidP="00BD66E0">
            <w:r>
              <w:t>41.274 l</w:t>
            </w:r>
          </w:p>
        </w:tc>
        <w:tc>
          <w:tcPr>
            <w:tcW w:w="1417" w:type="dxa"/>
            <w:shd w:val="clear" w:color="auto" w:fill="F2F2F2" w:themeFill="background1" w:themeFillShade="F2"/>
          </w:tcPr>
          <w:p w14:paraId="24F7A70F" w14:textId="3199A126" w:rsidR="00D1228B" w:rsidRDefault="00746AA9" w:rsidP="00BD66E0">
            <w:r w:rsidRPr="00746AA9">
              <w:t>34.624</w:t>
            </w:r>
            <w:r>
              <w:t xml:space="preserve"> l</w:t>
            </w:r>
          </w:p>
        </w:tc>
      </w:tr>
      <w:tr w:rsidR="00D1228B" w14:paraId="36DE3B67" w14:textId="143E472E" w:rsidTr="00D1228B">
        <w:tc>
          <w:tcPr>
            <w:tcW w:w="2183" w:type="dxa"/>
            <w:shd w:val="clear" w:color="auto" w:fill="F2F2F2" w:themeFill="background1" w:themeFillShade="F2"/>
          </w:tcPr>
          <w:p w14:paraId="5629FA3B" w14:textId="6AAC05A5" w:rsidR="00D1228B" w:rsidRDefault="00D1228B" w:rsidP="00A70CCF">
            <w:pPr>
              <w:jc w:val="left"/>
            </w:pPr>
            <w:r>
              <w:t xml:space="preserve">Grijze stroom </w:t>
            </w:r>
            <w:r w:rsidR="00BC10BA">
              <w:t>wagens</w:t>
            </w:r>
          </w:p>
        </w:tc>
        <w:tc>
          <w:tcPr>
            <w:tcW w:w="1460" w:type="dxa"/>
            <w:shd w:val="clear" w:color="auto" w:fill="F2F2F2" w:themeFill="background1" w:themeFillShade="F2"/>
          </w:tcPr>
          <w:p w14:paraId="2371873F" w14:textId="2A1763DA" w:rsidR="00D1228B" w:rsidRDefault="00D1228B" w:rsidP="00BD66E0">
            <w:r w:rsidRPr="004E0CF3">
              <w:rPr>
                <w:rFonts w:eastAsia="Times New Roman" w:cs="Arial"/>
                <w:sz w:val="18"/>
                <w:szCs w:val="18"/>
                <w:lang w:eastAsia="nl-NL"/>
              </w:rPr>
              <w:t>14.281</w:t>
            </w:r>
            <w:r>
              <w:rPr>
                <w:rFonts w:eastAsia="Times New Roman" w:cs="Arial"/>
                <w:sz w:val="18"/>
                <w:szCs w:val="18"/>
                <w:lang w:eastAsia="nl-NL"/>
              </w:rPr>
              <w:t xml:space="preserve"> kWh </w:t>
            </w:r>
          </w:p>
        </w:tc>
        <w:tc>
          <w:tcPr>
            <w:tcW w:w="1364" w:type="dxa"/>
            <w:shd w:val="clear" w:color="auto" w:fill="F2F2F2" w:themeFill="background1" w:themeFillShade="F2"/>
          </w:tcPr>
          <w:p w14:paraId="555E3F3F" w14:textId="761317BB" w:rsidR="00D1228B" w:rsidRDefault="00D1228B" w:rsidP="00BD66E0">
            <w:r w:rsidRPr="00DD72EC">
              <w:rPr>
                <w:rFonts w:eastAsia="Times New Roman" w:cs="Arial"/>
                <w:sz w:val="18"/>
                <w:szCs w:val="18"/>
                <w:lang w:eastAsia="nl-NL"/>
              </w:rPr>
              <w:t>38.935</w:t>
            </w:r>
            <w:r>
              <w:rPr>
                <w:rFonts w:eastAsia="Times New Roman" w:cs="Arial"/>
                <w:sz w:val="18"/>
                <w:szCs w:val="18"/>
                <w:lang w:eastAsia="nl-NL"/>
              </w:rPr>
              <w:t xml:space="preserve"> kWh</w:t>
            </w:r>
          </w:p>
        </w:tc>
        <w:tc>
          <w:tcPr>
            <w:tcW w:w="1362" w:type="dxa"/>
            <w:shd w:val="clear" w:color="auto" w:fill="F2F2F2" w:themeFill="background1" w:themeFillShade="F2"/>
          </w:tcPr>
          <w:p w14:paraId="1BAD390B" w14:textId="2BCFC92E" w:rsidR="00D1228B" w:rsidRDefault="00D1228B" w:rsidP="00BD66E0">
            <w:r>
              <w:rPr>
                <w:rFonts w:eastAsia="Times New Roman" w:cs="Arial"/>
                <w:sz w:val="18"/>
                <w:szCs w:val="18"/>
                <w:lang w:eastAsia="nl-NL"/>
              </w:rPr>
              <w:t xml:space="preserve">27.533 kWh </w:t>
            </w:r>
          </w:p>
        </w:tc>
        <w:tc>
          <w:tcPr>
            <w:tcW w:w="1418" w:type="dxa"/>
            <w:shd w:val="clear" w:color="auto" w:fill="F2F2F2" w:themeFill="background1" w:themeFillShade="F2"/>
          </w:tcPr>
          <w:p w14:paraId="5F7216B6" w14:textId="3E507B40" w:rsidR="00D1228B" w:rsidRDefault="0092192D" w:rsidP="00BD66E0">
            <w:r>
              <w:t>24</w:t>
            </w:r>
            <w:r w:rsidR="00D1228B">
              <w:t>.</w:t>
            </w:r>
            <w:r>
              <w:t>669</w:t>
            </w:r>
            <w:r w:rsidR="00D1228B">
              <w:t xml:space="preserve"> kWh </w:t>
            </w:r>
          </w:p>
        </w:tc>
        <w:tc>
          <w:tcPr>
            <w:tcW w:w="1417" w:type="dxa"/>
            <w:shd w:val="clear" w:color="auto" w:fill="F2F2F2" w:themeFill="background1" w:themeFillShade="F2"/>
          </w:tcPr>
          <w:p w14:paraId="343D61D7" w14:textId="157B055E" w:rsidR="00D1228B" w:rsidRDefault="00D1228B" w:rsidP="00BD66E0">
            <w:r>
              <w:t>98.485 kWh</w:t>
            </w:r>
          </w:p>
        </w:tc>
      </w:tr>
    </w:tbl>
    <w:p w14:paraId="36869B2F" w14:textId="77777777" w:rsidR="0047751A" w:rsidRPr="00021870" w:rsidRDefault="0047751A" w:rsidP="001A14E7"/>
    <w:p w14:paraId="4D8646CF" w14:textId="37266FCF" w:rsidR="0098060D" w:rsidRDefault="00EA182F" w:rsidP="001A14E7">
      <w:r w:rsidRPr="00F06FD4">
        <w:t>Milieuclassificaties voor auto's geven inzicht in de milieuvriendelijkheid van een voertuig.</w:t>
      </w:r>
      <w:r w:rsidR="000303E7" w:rsidRPr="00F06FD4">
        <w:t xml:space="preserve"> Voertuigen die aan de nieuwere Euro-normen voldoen, hebben een lagere uitstoot van schadelijke stoffen.</w:t>
      </w:r>
      <w:r w:rsidRPr="00F06FD4">
        <w:t xml:space="preserve"> </w:t>
      </w:r>
      <w:r w:rsidR="0098060D" w:rsidRPr="00F06FD4">
        <w:t>De</w:t>
      </w:r>
      <w:r w:rsidR="00021870" w:rsidRPr="00F06FD4">
        <w:t xml:space="preserve"> voertuigen</w:t>
      </w:r>
      <w:r w:rsidR="0098060D" w:rsidRPr="00F06FD4">
        <w:t xml:space="preserve"> in het wagenpark hebben milieuclassificatie 6</w:t>
      </w:r>
      <w:r w:rsidR="00F710AF" w:rsidRPr="00F06FD4">
        <w:t xml:space="preserve">, wat inhoudt dat dit de zuinigste type wagens zijn, </w:t>
      </w:r>
      <w:r w:rsidR="00A20A32" w:rsidRPr="00F06FD4">
        <w:t>of zijn</w:t>
      </w:r>
      <w:r w:rsidR="00F710AF" w:rsidRPr="00F06FD4">
        <w:t xml:space="preserve"> elektrisch.</w:t>
      </w:r>
    </w:p>
    <w:p w14:paraId="7BECDA68" w14:textId="77777777" w:rsidR="00F06FD4" w:rsidRPr="00F06FD4" w:rsidRDefault="00F06FD4" w:rsidP="001A14E7"/>
    <w:p w14:paraId="6BA9878B" w14:textId="563EEADE" w:rsidR="0098060D" w:rsidRDefault="00F06FD4" w:rsidP="001A14E7">
      <w:pPr>
        <w:rPr>
          <w:color w:val="ED7D31" w:themeColor="accent2"/>
        </w:rPr>
      </w:pPr>
      <w:r>
        <w:rPr>
          <w:noProof/>
        </w:rPr>
        <w:drawing>
          <wp:inline distT="0" distB="0" distL="0" distR="0" wp14:anchorId="46C5311F" wp14:editId="04B86106">
            <wp:extent cx="5429249" cy="3493226"/>
            <wp:effectExtent l="0" t="0" r="635" b="12065"/>
            <wp:docPr id="230712896" name="Grafiek 1">
              <a:extLst xmlns:a="http://schemas.openxmlformats.org/drawingml/2006/main">
                <a:ext uri="{FF2B5EF4-FFF2-40B4-BE49-F238E27FC236}">
                  <a16:creationId xmlns:a16="http://schemas.microsoft.com/office/drawing/2014/main" id="{5F3B1D13-3592-4138-BE55-06D161844E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7530E17" w14:textId="3CB13AEE" w:rsidR="0098060D" w:rsidRDefault="0098060D" w:rsidP="001A14E7">
      <w:pPr>
        <w:rPr>
          <w:color w:val="ED7D31" w:themeColor="accent2"/>
        </w:rPr>
      </w:pPr>
    </w:p>
    <w:p w14:paraId="1D21DD5E" w14:textId="77777777" w:rsidR="0098060D" w:rsidRDefault="0098060D" w:rsidP="001A14E7">
      <w:pPr>
        <w:rPr>
          <w:color w:val="ED7D31" w:themeColor="accent2"/>
        </w:rPr>
      </w:pPr>
    </w:p>
    <w:p w14:paraId="6321C6A5" w14:textId="70C57C5F" w:rsidR="00A70CCF" w:rsidRDefault="00A70CCF" w:rsidP="00A70CCF">
      <w:pPr>
        <w:pStyle w:val="Kop3"/>
        <w:rPr>
          <w:color w:val="6BBE93"/>
        </w:rPr>
      </w:pPr>
      <w:bookmarkStart w:id="119" w:name="_Toc142472142"/>
      <w:r w:rsidRPr="003837D1">
        <w:rPr>
          <w:color w:val="6BBE93"/>
        </w:rPr>
        <w:t xml:space="preserve">Analyse </w:t>
      </w:r>
      <w:r>
        <w:rPr>
          <w:color w:val="6BBE93"/>
        </w:rPr>
        <w:t>elektriciteitsverbruik vastgoed</w:t>
      </w:r>
    </w:p>
    <w:p w14:paraId="7FD13937" w14:textId="04EA5E08" w:rsidR="000B32C9" w:rsidRPr="00400671" w:rsidRDefault="00551DCE" w:rsidP="00A00881">
      <w:r w:rsidRPr="00400671">
        <w:t>Het totale elektriciteitsverbruik van CityTec bedroeg in 202</w:t>
      </w:r>
      <w:r w:rsidR="00553090" w:rsidRPr="00400671">
        <w:t>4</w:t>
      </w:r>
      <w:r w:rsidRPr="00400671">
        <w:t xml:space="preserve"> </w:t>
      </w:r>
      <w:r w:rsidR="00553090" w:rsidRPr="00400671">
        <w:t>2</w:t>
      </w:r>
      <w:r w:rsidR="00AC3EE2" w:rsidRPr="00400671">
        <w:t>57</w:t>
      </w:r>
      <w:r w:rsidR="00553090" w:rsidRPr="00400671">
        <w:t>.</w:t>
      </w:r>
      <w:r w:rsidR="00AC3EE2" w:rsidRPr="00400671">
        <w:t>022</w:t>
      </w:r>
      <w:r w:rsidR="005A633C" w:rsidRPr="00400671">
        <w:t xml:space="preserve"> </w:t>
      </w:r>
      <w:r w:rsidRPr="00400671">
        <w:t xml:space="preserve">kWh, wat een </w:t>
      </w:r>
      <w:r w:rsidR="009729D6" w:rsidRPr="00400671">
        <w:t>significante daling is ten opzichte van het jaar ervoor</w:t>
      </w:r>
      <w:r w:rsidRPr="00400671">
        <w:t>, toen het verbruik 3</w:t>
      </w:r>
      <w:r w:rsidR="009729D6" w:rsidRPr="00400671">
        <w:t>79.977</w:t>
      </w:r>
      <w:r w:rsidRPr="00400671">
        <w:t xml:space="preserve"> kWh was. </w:t>
      </w:r>
      <w:r w:rsidR="005B2F58" w:rsidRPr="00400671">
        <w:t xml:space="preserve">Dit </w:t>
      </w:r>
      <w:r w:rsidR="000B32C9" w:rsidRPr="00400671">
        <w:t xml:space="preserve">is voor het grootste deel te danken aan de afname in het elektriciteitsverbruik in de vestiging in </w:t>
      </w:r>
      <w:commentRangeStart w:id="120"/>
      <w:commentRangeStart w:id="121"/>
      <w:r w:rsidR="000B32C9" w:rsidRPr="00400671">
        <w:t xml:space="preserve">Alblasserdam. Deze vestiging was en is </w:t>
      </w:r>
      <w:r w:rsidR="001B6A89" w:rsidRPr="00400671">
        <w:t>verantwoordelijk voor het grootste elektriciteitsverbruik van de verschillende vestigingen.</w:t>
      </w:r>
      <w:commentRangeEnd w:id="120"/>
      <w:r w:rsidR="007E01A3" w:rsidRPr="00400671">
        <w:rPr>
          <w:rStyle w:val="Verwijzingopmerking"/>
        </w:rPr>
        <w:commentReference w:id="120"/>
      </w:r>
      <w:commentRangeEnd w:id="121"/>
      <w:r w:rsidR="00C0583B">
        <w:rPr>
          <w:rStyle w:val="Verwijzingopmerking"/>
        </w:rPr>
        <w:commentReference w:id="121"/>
      </w:r>
      <w:r w:rsidR="00F0400C" w:rsidRPr="00400671">
        <w:t xml:space="preserve"> </w:t>
      </w:r>
    </w:p>
    <w:p w14:paraId="3B3317C3" w14:textId="77777777" w:rsidR="00452A4A" w:rsidRPr="00400671" w:rsidRDefault="00452A4A" w:rsidP="00A00881"/>
    <w:p w14:paraId="539F1A31" w14:textId="38CF8ADA" w:rsidR="00821778" w:rsidRPr="00400671" w:rsidRDefault="00951AA0" w:rsidP="00A00881">
      <w:r w:rsidRPr="00400671">
        <w:t xml:space="preserve">Een andere belangrijke ontwikkeling is daarnaast het </w:t>
      </w:r>
      <w:r w:rsidR="003A6423" w:rsidRPr="00400671">
        <w:t xml:space="preserve">sluiten van het pand in Groningen en het daarop openen van het pand in Gieten. </w:t>
      </w:r>
      <w:r w:rsidR="00722238" w:rsidRPr="00400671">
        <w:t xml:space="preserve">Dit leidt tot een lichte </w:t>
      </w:r>
      <w:r w:rsidR="00741635" w:rsidRPr="00400671">
        <w:t>toename</w:t>
      </w:r>
      <w:r w:rsidR="00722238" w:rsidRPr="00400671">
        <w:t xml:space="preserve"> in het totaal aantal </w:t>
      </w:r>
      <w:r w:rsidR="00741635" w:rsidRPr="00400671">
        <w:t>ver</w:t>
      </w:r>
      <w:r w:rsidR="00722238" w:rsidRPr="00400671">
        <w:t>bruikte kWh</w:t>
      </w:r>
      <w:r w:rsidR="00D0063A" w:rsidRPr="00400671">
        <w:t xml:space="preserve"> (10.350</w:t>
      </w:r>
      <w:r w:rsidR="00741635" w:rsidRPr="00400671">
        <w:t xml:space="preserve"> kWh</w:t>
      </w:r>
      <w:r w:rsidR="00D0063A" w:rsidRPr="00400671">
        <w:t xml:space="preserve"> in Groningen in 2023 tegenover </w:t>
      </w:r>
      <w:r w:rsidR="00741635" w:rsidRPr="00400671">
        <w:t>11</w:t>
      </w:r>
      <w:r w:rsidR="00D0063A" w:rsidRPr="00400671">
        <w:t>.</w:t>
      </w:r>
      <w:r w:rsidR="00741635" w:rsidRPr="00400671">
        <w:t>751</w:t>
      </w:r>
      <w:r w:rsidR="00D0063A" w:rsidRPr="00400671">
        <w:t xml:space="preserve"> kWh in 2024 in Groningen en Gieten samen). </w:t>
      </w:r>
      <w:r w:rsidR="00DD7E5E" w:rsidRPr="00400671">
        <w:t>Het pand in Gieten beschikt hiernaast</w:t>
      </w:r>
      <w:r w:rsidR="00A57D24" w:rsidRPr="00400671">
        <w:t xml:space="preserve"> over </w:t>
      </w:r>
      <w:r w:rsidR="00AA0FDF" w:rsidRPr="00400671">
        <w:t>een eigen meterkast</w:t>
      </w:r>
      <w:r w:rsidR="00A57D24" w:rsidRPr="00400671">
        <w:t>, waardoor de datakwaliteit verbetert.</w:t>
      </w:r>
      <w:r w:rsidR="00D0063A" w:rsidRPr="00400671">
        <w:t xml:space="preserve"> </w:t>
      </w:r>
    </w:p>
    <w:p w14:paraId="0239E357" w14:textId="77777777" w:rsidR="00DD7E5E" w:rsidRPr="00400671" w:rsidRDefault="00DD7E5E" w:rsidP="00A00881"/>
    <w:p w14:paraId="4E499D10" w14:textId="2F937CD0" w:rsidR="00551DCE" w:rsidRPr="00400671" w:rsidRDefault="00821778" w:rsidP="00A00881">
      <w:r w:rsidRPr="00400671">
        <w:t xml:space="preserve">Een laatste ontwikkeling die in deze analyse benoemd kan worden is dat het </w:t>
      </w:r>
      <w:r w:rsidR="009C15BE" w:rsidRPr="00400671">
        <w:t>elektriciteitsverbruik in Leeuwarden</w:t>
      </w:r>
      <w:r w:rsidR="00C21EF2" w:rsidRPr="00400671">
        <w:t xml:space="preserve"> is gestegen ten opzichte va</w:t>
      </w:r>
      <w:r w:rsidR="004F552F" w:rsidRPr="00400671">
        <w:t>n 2020</w:t>
      </w:r>
      <w:r w:rsidR="00C21EF2" w:rsidRPr="00400671">
        <w:t>.</w:t>
      </w:r>
      <w:r w:rsidR="004F552F" w:rsidRPr="00400671">
        <w:t xml:space="preserve"> Toen was het aantal kWh 18.770</w:t>
      </w:r>
      <w:r w:rsidR="00B57EB2" w:rsidRPr="00400671">
        <w:t xml:space="preserve"> en in 2024 was dit opgelopen tot </w:t>
      </w:r>
      <w:r w:rsidR="00473740" w:rsidRPr="00400671">
        <w:t>23.712</w:t>
      </w:r>
      <w:r w:rsidR="001C443D" w:rsidRPr="00400671">
        <w:t xml:space="preserve"> kWh</w:t>
      </w:r>
      <w:r w:rsidR="00473740" w:rsidRPr="00400671">
        <w:t>.</w:t>
      </w:r>
      <w:r w:rsidR="003B2728" w:rsidRPr="00400671">
        <w:t xml:space="preserve"> Te zien in onderstaande grafiek is dat dit pand relatief grote jaarlijkse verschillen heeft, net als het pand in Nieuwegein</w:t>
      </w:r>
      <w:r w:rsidR="00400671" w:rsidRPr="00400671">
        <w:t>, waar juist vorig jaar een piek te zien was.</w:t>
      </w:r>
    </w:p>
    <w:p w14:paraId="09C9F388" w14:textId="0AEA19C0" w:rsidR="00A70CCF" w:rsidRDefault="00BC51F7" w:rsidP="00A70CCF">
      <w:r>
        <w:rPr>
          <w:noProof/>
        </w:rPr>
        <w:lastRenderedPageBreak/>
        <w:drawing>
          <wp:inline distT="0" distB="0" distL="0" distR="0" wp14:anchorId="6BD4B527" wp14:editId="163F0687">
            <wp:extent cx="5605145" cy="4021455"/>
            <wp:effectExtent l="0" t="0" r="0" b="0"/>
            <wp:docPr id="150303719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5145" cy="4021455"/>
                    </a:xfrm>
                    <a:prstGeom prst="rect">
                      <a:avLst/>
                    </a:prstGeom>
                    <a:noFill/>
                    <a:ln>
                      <a:noFill/>
                    </a:ln>
                  </pic:spPr>
                </pic:pic>
              </a:graphicData>
            </a:graphic>
          </wp:inline>
        </w:drawing>
      </w:r>
    </w:p>
    <w:p w14:paraId="75948E16" w14:textId="77777777" w:rsidR="00A70CCF" w:rsidRPr="00A70CCF" w:rsidRDefault="00A70CCF" w:rsidP="00A70CCF"/>
    <w:p w14:paraId="54DFC222" w14:textId="1D4B0C40" w:rsidR="00ED79FB" w:rsidRDefault="00583631" w:rsidP="003837D1">
      <w:pPr>
        <w:pStyle w:val="Kop3"/>
      </w:pPr>
      <w:r>
        <w:t>Conclusies en aanbevelingen</w:t>
      </w:r>
      <w:bookmarkEnd w:id="119"/>
    </w:p>
    <w:p w14:paraId="2D65F15F" w14:textId="2D14E8C7" w:rsidR="00583631" w:rsidRPr="00C0583B" w:rsidRDefault="00CA1857" w:rsidP="001A14E7">
      <w:r w:rsidRPr="00C0583B">
        <w:t xml:space="preserve">De afgelopen jaren zijn verschillende energiebeoordelingen uitgevoerd. </w:t>
      </w:r>
      <w:r w:rsidR="003E2C0B" w:rsidRPr="00C0583B">
        <w:t xml:space="preserve">Gebaseerd op de </w:t>
      </w:r>
      <w:r w:rsidRPr="00C0583B">
        <w:t xml:space="preserve">voorgaande en </w:t>
      </w:r>
      <w:r w:rsidR="003E2C0B" w:rsidRPr="00C0583B">
        <w:t>bovenstaande analyses</w:t>
      </w:r>
      <w:r w:rsidRPr="00C0583B">
        <w:t xml:space="preserve"> </w:t>
      </w:r>
      <w:r w:rsidR="003E2C0B" w:rsidRPr="00C0583B">
        <w:t>worden maatregelen benoemd die ervoor kunnen zorgen dat het brandstof</w:t>
      </w:r>
      <w:r w:rsidR="00A53074" w:rsidRPr="00C0583B">
        <w:t>- en elektriciteits</w:t>
      </w:r>
      <w:r w:rsidR="003E2C0B" w:rsidRPr="00C0583B">
        <w:t>verbruik de komende jaren afnemen.</w:t>
      </w:r>
    </w:p>
    <w:p w14:paraId="3BA44FD6" w14:textId="77777777" w:rsidR="00E96E0E" w:rsidRPr="00C0583B" w:rsidRDefault="00E96E0E" w:rsidP="001A14E7"/>
    <w:p w14:paraId="35C02D6D" w14:textId="7019BBC9" w:rsidR="00E96E0E" w:rsidRPr="00C0583B" w:rsidRDefault="00E96E0E" w:rsidP="001A14E7">
      <w:pPr>
        <w:rPr>
          <w:b/>
          <w:bCs/>
        </w:rPr>
      </w:pPr>
      <w:r w:rsidRPr="00C0583B">
        <w:rPr>
          <w:b/>
          <w:bCs/>
        </w:rPr>
        <w:t>Brandstofverbruik</w:t>
      </w:r>
    </w:p>
    <w:p w14:paraId="3AE99E68" w14:textId="3A21C649" w:rsidR="008517D1" w:rsidRPr="00C0583B" w:rsidRDefault="00603095" w:rsidP="002E300C">
      <w:pPr>
        <w:pStyle w:val="Lijstalinea"/>
        <w:numPr>
          <w:ilvl w:val="0"/>
          <w:numId w:val="38"/>
        </w:numPr>
      </w:pPr>
      <w:r w:rsidRPr="00C0583B">
        <w:t>Versnellen elektrificatie wagenpark.</w:t>
      </w:r>
    </w:p>
    <w:p w14:paraId="09AE46DF" w14:textId="348CE1D5" w:rsidR="00C0583B" w:rsidRPr="00C0583B" w:rsidRDefault="00C0583B" w:rsidP="002E300C">
      <w:pPr>
        <w:pStyle w:val="Lijstalinea"/>
        <w:numPr>
          <w:ilvl w:val="0"/>
          <w:numId w:val="38"/>
        </w:numPr>
      </w:pPr>
      <w:r w:rsidRPr="00C0583B">
        <w:t>Elektrificatie van hoogwerkers</w:t>
      </w:r>
    </w:p>
    <w:p w14:paraId="6BFDA2D5" w14:textId="003EA039" w:rsidR="00603095" w:rsidRPr="00C0583B" w:rsidRDefault="00603095" w:rsidP="002E300C">
      <w:pPr>
        <w:pStyle w:val="Lijstalinea"/>
        <w:numPr>
          <w:ilvl w:val="0"/>
          <w:numId w:val="38"/>
        </w:numPr>
      </w:pPr>
      <w:r w:rsidRPr="00C0583B">
        <w:t xml:space="preserve">Inzetten van HVO100 wanneer elektrificatie niet mogelijk is. </w:t>
      </w:r>
    </w:p>
    <w:p w14:paraId="2F6ECDE7" w14:textId="403468CA" w:rsidR="004946A8" w:rsidRPr="00C0583B" w:rsidRDefault="001A07A8" w:rsidP="002E300C">
      <w:pPr>
        <w:pStyle w:val="Lijstalinea"/>
        <w:numPr>
          <w:ilvl w:val="0"/>
          <w:numId w:val="38"/>
        </w:numPr>
      </w:pPr>
      <w:r w:rsidRPr="00C0583B">
        <w:t xml:space="preserve">Blijven creëren van bewustwording </w:t>
      </w:r>
      <w:r w:rsidR="00C63700" w:rsidRPr="00C0583B">
        <w:t xml:space="preserve">bij medewerkers, middels: </w:t>
      </w:r>
    </w:p>
    <w:p w14:paraId="5CC5BDDE" w14:textId="77777777" w:rsidR="00953486" w:rsidRPr="00C0583B" w:rsidRDefault="00953486" w:rsidP="00953486">
      <w:pPr>
        <w:pStyle w:val="Lijstalinea"/>
        <w:numPr>
          <w:ilvl w:val="1"/>
          <w:numId w:val="5"/>
        </w:numPr>
        <w:spacing w:before="120" w:after="120"/>
      </w:pPr>
      <w:r w:rsidRPr="00C0583B">
        <w:t>Terugkoppelen van het verbruik.</w:t>
      </w:r>
    </w:p>
    <w:p w14:paraId="2911C431" w14:textId="77777777" w:rsidR="00953486" w:rsidRPr="00C0583B" w:rsidRDefault="00953486" w:rsidP="00953486">
      <w:pPr>
        <w:pStyle w:val="Lijstalinea"/>
        <w:numPr>
          <w:ilvl w:val="1"/>
          <w:numId w:val="5"/>
        </w:numPr>
        <w:spacing w:before="120" w:after="120"/>
      </w:pPr>
      <w:r w:rsidRPr="00C0583B">
        <w:t>Rijgedrag tips geven aan medewerkers buitendienst middels een toolbox of presentatie.</w:t>
      </w:r>
    </w:p>
    <w:p w14:paraId="59BE8965" w14:textId="0F7AD101" w:rsidR="00953486" w:rsidRPr="00C0583B" w:rsidRDefault="00953486" w:rsidP="0079757A">
      <w:pPr>
        <w:pStyle w:val="Lijstalinea"/>
        <w:numPr>
          <w:ilvl w:val="1"/>
          <w:numId w:val="5"/>
        </w:numPr>
        <w:spacing w:before="120" w:after="120"/>
      </w:pPr>
      <w:r w:rsidRPr="00C0583B">
        <w:t>Terugdringen stationair draaien van de motor.</w:t>
      </w:r>
    </w:p>
    <w:p w14:paraId="48DDF3C1" w14:textId="77777777" w:rsidR="00220745" w:rsidRPr="00522956" w:rsidRDefault="00220745" w:rsidP="00220745">
      <w:pPr>
        <w:rPr>
          <w:color w:val="ED7D31" w:themeColor="accent2"/>
          <w:szCs w:val="20"/>
        </w:rPr>
      </w:pPr>
    </w:p>
    <w:p w14:paraId="0342C4DF" w14:textId="19162B26" w:rsidR="0079757A" w:rsidRPr="00C0583B" w:rsidRDefault="0079757A" w:rsidP="00220745">
      <w:pPr>
        <w:rPr>
          <w:b/>
          <w:bCs/>
          <w:szCs w:val="20"/>
        </w:rPr>
      </w:pPr>
      <w:r w:rsidRPr="00C0583B">
        <w:rPr>
          <w:b/>
          <w:bCs/>
          <w:szCs w:val="20"/>
        </w:rPr>
        <w:t>Elektriciteitsverbruik vastgoed</w:t>
      </w:r>
    </w:p>
    <w:p w14:paraId="390373E2" w14:textId="6F32089E" w:rsidR="00324326" w:rsidRPr="00C0583B" w:rsidRDefault="00324326" w:rsidP="002E300C">
      <w:pPr>
        <w:pStyle w:val="Lijstalinea"/>
        <w:numPr>
          <w:ilvl w:val="0"/>
          <w:numId w:val="39"/>
        </w:numPr>
        <w:rPr>
          <w:szCs w:val="20"/>
        </w:rPr>
      </w:pPr>
      <w:r w:rsidRPr="00C0583B">
        <w:rPr>
          <w:szCs w:val="20"/>
        </w:rPr>
        <w:t xml:space="preserve">In gesprek gaan met verhuurder om locatie in Alblasserdam te verduurzamen (denk aan: ledverlichting, bewegingssensoren, </w:t>
      </w:r>
      <w:r w:rsidR="00503F9B" w:rsidRPr="00C0583B">
        <w:rPr>
          <w:szCs w:val="20"/>
        </w:rPr>
        <w:t xml:space="preserve">tijdschakelaars (licht automatisch uit na </w:t>
      </w:r>
      <w:r w:rsidR="00EC63F2" w:rsidRPr="00C0583B">
        <w:rPr>
          <w:szCs w:val="20"/>
        </w:rPr>
        <w:t>bepaalde tijd</w:t>
      </w:r>
      <w:r w:rsidR="00503F9B" w:rsidRPr="00C0583B">
        <w:rPr>
          <w:szCs w:val="20"/>
        </w:rPr>
        <w:t>)).</w:t>
      </w:r>
    </w:p>
    <w:p w14:paraId="67D3BE54" w14:textId="101D3ECC" w:rsidR="002627ED" w:rsidRPr="00C0583B" w:rsidRDefault="00BA1A0C" w:rsidP="002E300C">
      <w:pPr>
        <w:pStyle w:val="Lijstalinea"/>
        <w:numPr>
          <w:ilvl w:val="0"/>
          <w:numId w:val="39"/>
        </w:numPr>
        <w:rPr>
          <w:szCs w:val="20"/>
        </w:rPr>
      </w:pPr>
      <w:r w:rsidRPr="00C0583B">
        <w:rPr>
          <w:szCs w:val="20"/>
        </w:rPr>
        <w:t>Blijven i</w:t>
      </w:r>
      <w:r w:rsidR="002627ED" w:rsidRPr="00C0583B">
        <w:rPr>
          <w:szCs w:val="20"/>
        </w:rPr>
        <w:t xml:space="preserve">nkopen GvO’s voor locatie in Delft om grijze stroom te vergroenen. </w:t>
      </w:r>
    </w:p>
    <w:p w14:paraId="505F63B2" w14:textId="1BA74713" w:rsidR="00C0583B" w:rsidRPr="00C0583B" w:rsidRDefault="00C0583B" w:rsidP="00C0583B">
      <w:pPr>
        <w:ind w:left="360"/>
        <w:rPr>
          <w:color w:val="ED7D31" w:themeColor="accent2"/>
          <w:szCs w:val="20"/>
        </w:rPr>
      </w:pPr>
    </w:p>
    <w:p w14:paraId="6920FAD5" w14:textId="77777777" w:rsidR="0079757A" w:rsidRDefault="0079757A" w:rsidP="00220745">
      <w:pPr>
        <w:rPr>
          <w:color w:val="FF0000"/>
          <w:szCs w:val="20"/>
        </w:rPr>
      </w:pPr>
    </w:p>
    <w:p w14:paraId="05DD0EFB" w14:textId="3996F755" w:rsidR="005B1065" w:rsidRDefault="00FA61C7" w:rsidP="005B1065">
      <w:pPr>
        <w:pStyle w:val="Kop3"/>
      </w:pPr>
      <w:bookmarkStart w:id="122" w:name="_Toc142472143"/>
      <w:r>
        <w:t>R</w:t>
      </w:r>
      <w:r w:rsidR="005B1065">
        <w:t>eductiedoelstelling</w:t>
      </w:r>
      <w:bookmarkEnd w:id="122"/>
      <w:r>
        <w:t xml:space="preserve"> energieverbruik</w:t>
      </w:r>
    </w:p>
    <w:p w14:paraId="0C945AD3" w14:textId="2A62B3B9" w:rsidR="005B1065" w:rsidRPr="00522956" w:rsidRDefault="005B1065" w:rsidP="005B1065">
      <w:pPr>
        <w:rPr>
          <w:color w:val="ED7D31" w:themeColor="accent2"/>
        </w:rPr>
      </w:pPr>
      <w:r w:rsidRPr="00522956">
        <w:rPr>
          <w:color w:val="ED7D31" w:themeColor="accent2"/>
        </w:rPr>
        <w:t xml:space="preserve">De organisatie heeft een reductiedoelstelling in het energieverbruik van </w:t>
      </w:r>
      <w:r w:rsidR="009E6AA7" w:rsidRPr="00522956">
        <w:rPr>
          <w:color w:val="ED7D31" w:themeColor="accent2"/>
        </w:rPr>
        <w:t>1</w:t>
      </w:r>
      <w:r w:rsidR="00274027" w:rsidRPr="00522956">
        <w:rPr>
          <w:color w:val="ED7D31" w:themeColor="accent2"/>
        </w:rPr>
        <w:t>7</w:t>
      </w:r>
      <w:r w:rsidRPr="00522956">
        <w:rPr>
          <w:color w:val="ED7D31" w:themeColor="accent2"/>
        </w:rPr>
        <w:t>% in 20</w:t>
      </w:r>
      <w:r w:rsidR="009E6AA7" w:rsidRPr="00522956">
        <w:rPr>
          <w:color w:val="ED7D31" w:themeColor="accent2"/>
        </w:rPr>
        <w:t>27</w:t>
      </w:r>
      <w:r w:rsidRPr="00522956">
        <w:rPr>
          <w:color w:val="ED7D31" w:themeColor="accent2"/>
        </w:rPr>
        <w:t xml:space="preserve"> ten opzichte van 20</w:t>
      </w:r>
      <w:r w:rsidR="009E6AA7" w:rsidRPr="00522956">
        <w:rPr>
          <w:color w:val="ED7D31" w:themeColor="accent2"/>
        </w:rPr>
        <w:t>17</w:t>
      </w:r>
      <w:r w:rsidRPr="00522956">
        <w:rPr>
          <w:color w:val="ED7D31" w:themeColor="accent2"/>
        </w:rPr>
        <w:t xml:space="preserve"> in scope 1 en 2. Deze reductie moet het gevolg zijn van de volgende maatregelen:</w:t>
      </w:r>
    </w:p>
    <w:p w14:paraId="64E04DA7" w14:textId="4EC83234" w:rsidR="00C02FD9" w:rsidRPr="00522956" w:rsidRDefault="00C02FD9" w:rsidP="003F1594">
      <w:pPr>
        <w:pStyle w:val="Lijstalinea"/>
        <w:numPr>
          <w:ilvl w:val="0"/>
          <w:numId w:val="37"/>
        </w:numPr>
        <w:rPr>
          <w:color w:val="ED7D31" w:themeColor="accent2"/>
        </w:rPr>
      </w:pPr>
      <w:r w:rsidRPr="00522956">
        <w:rPr>
          <w:color w:val="ED7D31" w:themeColor="accent2"/>
        </w:rPr>
        <w:t>Stimuleren zuinig rijden</w:t>
      </w:r>
      <w:r w:rsidR="005D39F5" w:rsidRPr="00522956">
        <w:rPr>
          <w:color w:val="ED7D31" w:themeColor="accent2"/>
        </w:rPr>
        <w:t>.</w:t>
      </w:r>
    </w:p>
    <w:p w14:paraId="180ED515" w14:textId="77777777" w:rsidR="00C02FD9" w:rsidRPr="00522956" w:rsidRDefault="00C02FD9" w:rsidP="003F1594">
      <w:pPr>
        <w:pStyle w:val="Lijstalinea"/>
        <w:numPr>
          <w:ilvl w:val="0"/>
          <w:numId w:val="37"/>
        </w:numPr>
        <w:rPr>
          <w:color w:val="ED7D31" w:themeColor="accent2"/>
        </w:rPr>
      </w:pPr>
      <w:r w:rsidRPr="00522956">
        <w:rPr>
          <w:color w:val="ED7D31" w:themeColor="accent2"/>
        </w:rPr>
        <w:t>Alternatieve brandstoffen wagenpark inzetten (HVO100) waar elektrisch niet mogelijk is.</w:t>
      </w:r>
    </w:p>
    <w:p w14:paraId="5CD14862" w14:textId="7BDFABA1" w:rsidR="00656E10" w:rsidRPr="00522956" w:rsidRDefault="00656E10" w:rsidP="003F1594">
      <w:pPr>
        <w:pStyle w:val="Lijstalinea"/>
        <w:numPr>
          <w:ilvl w:val="0"/>
          <w:numId w:val="37"/>
        </w:numPr>
        <w:rPr>
          <w:color w:val="ED7D31" w:themeColor="accent2"/>
        </w:rPr>
      </w:pPr>
      <w:r w:rsidRPr="00522956">
        <w:rPr>
          <w:color w:val="ED7D31" w:themeColor="accent2"/>
        </w:rPr>
        <w:t xml:space="preserve">Elektrificeren </w:t>
      </w:r>
      <w:r w:rsidR="005D39F5" w:rsidRPr="00522956">
        <w:rPr>
          <w:color w:val="ED7D31" w:themeColor="accent2"/>
        </w:rPr>
        <w:t xml:space="preserve">bedrijfsbussen monteurs. </w:t>
      </w:r>
    </w:p>
    <w:p w14:paraId="0578C4DE" w14:textId="713AD253" w:rsidR="005B1065" w:rsidRPr="00522956" w:rsidRDefault="00C02FD9" w:rsidP="003F1594">
      <w:pPr>
        <w:pStyle w:val="Lijstalinea"/>
        <w:numPr>
          <w:ilvl w:val="0"/>
          <w:numId w:val="37"/>
        </w:numPr>
        <w:rPr>
          <w:color w:val="ED7D31" w:themeColor="accent2"/>
        </w:rPr>
      </w:pPr>
      <w:r w:rsidRPr="00522956">
        <w:rPr>
          <w:color w:val="ED7D31" w:themeColor="accent2"/>
        </w:rPr>
        <w:t>Efficiëntere rijroutes inplannen</w:t>
      </w:r>
      <w:r w:rsidR="005D39F5" w:rsidRPr="00522956">
        <w:rPr>
          <w:color w:val="ED7D31" w:themeColor="accent2"/>
        </w:rPr>
        <w:t>.</w:t>
      </w:r>
    </w:p>
    <w:p w14:paraId="7EE3D03E" w14:textId="77777777" w:rsidR="005B1065" w:rsidRPr="005B1065" w:rsidRDefault="005B1065" w:rsidP="005B1065"/>
    <w:p w14:paraId="04B8C659" w14:textId="77777777" w:rsidR="00220745" w:rsidRPr="0080769A" w:rsidRDefault="00220745" w:rsidP="00E25517">
      <w:pPr>
        <w:pStyle w:val="Kop2"/>
      </w:pPr>
      <w:bookmarkStart w:id="123" w:name="_Toc17187877"/>
      <w:bookmarkStart w:id="124" w:name="_Toc90908442"/>
      <w:bookmarkStart w:id="125" w:name="_Toc118736251"/>
      <w:bookmarkStart w:id="126" w:name="_Toc142472144"/>
      <w:r w:rsidRPr="0080769A">
        <w:t>Conclusie ambitiebepaling</w:t>
      </w:r>
      <w:bookmarkEnd w:id="123"/>
      <w:bookmarkEnd w:id="124"/>
      <w:bookmarkEnd w:id="125"/>
      <w:bookmarkEnd w:id="126"/>
    </w:p>
    <w:p w14:paraId="3F9E067E" w14:textId="446CA13D" w:rsidR="00220745" w:rsidRPr="00B760D0" w:rsidRDefault="009E6AA7" w:rsidP="00220745">
      <w:r w:rsidRPr="00B760D0">
        <w:t>CityTec</w:t>
      </w:r>
      <w:r w:rsidR="00220745" w:rsidRPr="00B760D0">
        <w:rPr>
          <w:szCs w:val="22"/>
        </w:rPr>
        <w:t xml:space="preserve"> </w:t>
      </w:r>
      <w:r w:rsidR="00220745" w:rsidRPr="00B760D0">
        <w:t xml:space="preserve">heeft naar aanleiding van bovenstaande vergelijkingen en de maatregellijst geconcludeerd dat de reductiedoelstelling gepresenteerd in de volgende paragraaf voldoende ambitieus is. </w:t>
      </w:r>
      <w:r w:rsidR="00106460" w:rsidRPr="00B760D0">
        <w:t xml:space="preserve">In vergelijking met sectorgenoten heeft de organisatie een ambitieuze doelstelling gesteld om in 2027 </w:t>
      </w:r>
      <w:r w:rsidR="005D39F5" w:rsidRPr="00B760D0">
        <w:t>52</w:t>
      </w:r>
      <w:r w:rsidR="00106460" w:rsidRPr="00B760D0">
        <w:t>% CO</w:t>
      </w:r>
      <w:r w:rsidR="00106460" w:rsidRPr="00B760D0">
        <w:rPr>
          <w:vertAlign w:val="subscript"/>
        </w:rPr>
        <w:t>2</w:t>
      </w:r>
      <w:r w:rsidR="00106460" w:rsidRPr="00B760D0">
        <w:t xml:space="preserve"> te reduceren</w:t>
      </w:r>
      <w:r w:rsidR="00220745" w:rsidRPr="00B760D0">
        <w:t>. De organisatie schat zichzelf op het gebied van CO</w:t>
      </w:r>
      <w:r w:rsidR="00220745" w:rsidRPr="00B760D0">
        <w:rPr>
          <w:vertAlign w:val="subscript"/>
        </w:rPr>
        <w:t>2</w:t>
      </w:r>
      <w:r w:rsidR="00220745" w:rsidRPr="00B760D0">
        <w:t>-reductie in als middenmo</w:t>
      </w:r>
      <w:r w:rsidR="008842AE" w:rsidRPr="00B760D0">
        <w:t>ter</w:t>
      </w:r>
      <w:r w:rsidR="00220745" w:rsidRPr="00B760D0">
        <w:t xml:space="preserve"> vergeleken met sectorgenoten. </w:t>
      </w:r>
      <w:r w:rsidR="00AF40A1" w:rsidRPr="00B760D0">
        <w:t>Dit op grond van de maatregelenlijst (categorie A, B en C) en de vergelijking met sectorgenoten.</w:t>
      </w:r>
    </w:p>
    <w:p w14:paraId="2C6BF886" w14:textId="77777777" w:rsidR="00220745" w:rsidRPr="00522956" w:rsidRDefault="00220745" w:rsidP="001A14E7">
      <w:pPr>
        <w:rPr>
          <w:color w:val="ED7D31" w:themeColor="accent2"/>
        </w:rPr>
      </w:pPr>
    </w:p>
    <w:p w14:paraId="452A03F9" w14:textId="77777777" w:rsidR="006C2E3E" w:rsidRPr="00522956" w:rsidRDefault="00D94460" w:rsidP="00D41B4C">
      <w:pPr>
        <w:jc w:val="left"/>
        <w:rPr>
          <w:color w:val="ED7D31" w:themeColor="accent2"/>
        </w:rPr>
      </w:pPr>
      <w:r w:rsidRPr="00522956">
        <w:rPr>
          <w:color w:val="ED7D31" w:themeColor="accent2"/>
        </w:rPr>
        <w:br w:type="page"/>
      </w:r>
    </w:p>
    <w:p w14:paraId="77E73262" w14:textId="77777777" w:rsidR="00A45B03" w:rsidRPr="003A2D7C" w:rsidRDefault="00A45B03" w:rsidP="00A45B03">
      <w:pPr>
        <w:pStyle w:val="Kop1"/>
        <w:numPr>
          <w:ilvl w:val="0"/>
          <w:numId w:val="0"/>
        </w:numPr>
        <w:ind w:left="432" w:hanging="432"/>
      </w:pPr>
      <w:bookmarkStart w:id="127" w:name="_Toc30071630"/>
      <w:bookmarkStart w:id="128" w:name="_Toc118736252"/>
      <w:bookmarkStart w:id="129" w:name="_Toc142472145"/>
      <w:r w:rsidRPr="003A2D7C">
        <w:lastRenderedPageBreak/>
        <w:t>Disclaimer &amp; Colofon</w:t>
      </w:r>
      <w:bookmarkEnd w:id="127"/>
      <w:bookmarkEnd w:id="128"/>
      <w:bookmarkEnd w:id="129"/>
    </w:p>
    <w:p w14:paraId="7B84CC04" w14:textId="77777777" w:rsidR="00A45B03" w:rsidRPr="003A2D7C" w:rsidRDefault="00A45B03" w:rsidP="00A45B03">
      <w:pPr>
        <w:rPr>
          <w:color w:val="6ABD92"/>
          <w:sz w:val="22"/>
          <w:szCs w:val="22"/>
        </w:rPr>
      </w:pPr>
      <w:bookmarkStart w:id="130" w:name="_Toc18488530"/>
      <w:bookmarkStart w:id="131" w:name="_Toc30071631"/>
      <w:r w:rsidRPr="003A2D7C">
        <w:rPr>
          <w:color w:val="6ABD92"/>
          <w:sz w:val="22"/>
          <w:szCs w:val="22"/>
        </w:rPr>
        <w:t>Uitsluiting van juridische aansprakelijkheid</w:t>
      </w:r>
      <w:bookmarkEnd w:id="130"/>
      <w:bookmarkEnd w:id="131"/>
    </w:p>
    <w:p w14:paraId="30939D61" w14:textId="77777777" w:rsidR="00A45B03" w:rsidRDefault="00A45B03" w:rsidP="00A45B03">
      <w:r w:rsidRPr="00D670A8">
        <w:t xml:space="preserve">Hoewel de informatie in dit rapport afkomstig is van betrouwbare bronnen en exceptionele zorgvuldigheid is betracht tijdens het samenstellen van deze rapportage kunnen De Duurzame Adviseurs geen </w:t>
      </w:r>
      <w:r>
        <w:t xml:space="preserve">juridische </w:t>
      </w:r>
      <w:r w:rsidRPr="00D670A8">
        <w:t>aans</w:t>
      </w:r>
      <w:r>
        <w:t>prakelijkheid aanvaarden</w:t>
      </w:r>
      <w:r w:rsidRPr="00D670A8">
        <w:t xml:space="preserve"> voor f</w:t>
      </w:r>
      <w:r>
        <w:t>outen</w:t>
      </w:r>
      <w:r w:rsidR="00C3545D">
        <w:t xml:space="preserve"> en</w:t>
      </w:r>
      <w:r>
        <w:t xml:space="preserve"> onnauwkeurigheden</w:t>
      </w:r>
      <w:r w:rsidRPr="00D670A8">
        <w:t>, ongeacht de oorzaak</w:t>
      </w:r>
      <w:r>
        <w:t xml:space="preserve"> daarvan </w:t>
      </w:r>
      <w:r w:rsidRPr="00D670A8">
        <w:t>en voor schade als gevolg daa</w:t>
      </w:r>
      <w:r>
        <w:t xml:space="preserve">rvan. De borging en uitvoering van de opgestelde doelen en maatregelen </w:t>
      </w:r>
      <w:r w:rsidRPr="00D670A8">
        <w:t>aanwezig in dit rapport</w:t>
      </w:r>
      <w:r>
        <w:t xml:space="preserve"> liggen bij de verantwoordelijkheid van de opdrachtgever. Voor het niet behalen van doelen en/of het onjuist aanleveren van data door de opdrachtgever, kunnen De Duurzame Adviseurs niet aansprakelijk worden gesteld.</w:t>
      </w:r>
    </w:p>
    <w:p w14:paraId="2A0969AE" w14:textId="77777777" w:rsidR="00A45B03" w:rsidRDefault="00A45B03" w:rsidP="00A45B03"/>
    <w:p w14:paraId="46281113" w14:textId="77777777" w:rsidR="00A45B03" w:rsidRDefault="00A45B03" w:rsidP="00A45B03">
      <w:r w:rsidRPr="00D670A8">
        <w:t>In geen enkel geval zijn De Duurzame Adviseurs, haar eigenaren en/of medewerkers aansprakelijk ten aanzien van indirecte, immateriële of gevolgschade met inbegrip van gederfde winst of inkomsten en verlies van contracten of orders.</w:t>
      </w:r>
    </w:p>
    <w:p w14:paraId="0A23F014" w14:textId="77777777" w:rsidR="00A45B03" w:rsidRDefault="00A45B03" w:rsidP="00A45B03"/>
    <w:p w14:paraId="1FBDF181" w14:textId="77777777" w:rsidR="00A45B03" w:rsidRPr="003A2D7C" w:rsidRDefault="00A45B03" w:rsidP="00A45B03">
      <w:pPr>
        <w:rPr>
          <w:color w:val="6ABD92"/>
          <w:sz w:val="22"/>
          <w:szCs w:val="22"/>
        </w:rPr>
      </w:pPr>
      <w:bookmarkStart w:id="132" w:name="_Toc30071632"/>
      <w:r w:rsidRPr="003A2D7C">
        <w:rPr>
          <w:color w:val="6ABD92"/>
          <w:sz w:val="22"/>
          <w:szCs w:val="22"/>
        </w:rPr>
        <w:t>Bescherming intellectueel eigendom</w:t>
      </w:r>
      <w:bookmarkEnd w:id="132"/>
    </w:p>
    <w:p w14:paraId="54E6AB38" w14:textId="4225C4FA" w:rsidR="00A45B03" w:rsidRDefault="00A45B03" w:rsidP="00A45B03">
      <w:pPr>
        <w:rPr>
          <w:rFonts w:cs="Verdana"/>
        </w:rPr>
      </w:pPr>
      <w:r>
        <w:rPr>
          <w:rFonts w:cs="Verdana"/>
        </w:rPr>
        <w:t xml:space="preserve">Het auteursrecht op dit document berust bij De Duurzame Adviseurs of bij derden welke bij toestemming deze documentatie beschikbaar hebben </w:t>
      </w:r>
      <w:r w:rsidRPr="00AB5365">
        <w:rPr>
          <w:rFonts w:cs="Verdana"/>
        </w:rPr>
        <w:t xml:space="preserve">gesteld aan </w:t>
      </w:r>
      <w:r w:rsidR="00AB5365" w:rsidRPr="00AB5365">
        <w:t xml:space="preserve">CityTec. </w:t>
      </w:r>
      <w:r w:rsidRPr="00AB5365">
        <w:rPr>
          <w:rFonts w:cs="Verdana"/>
        </w:rPr>
        <w:t xml:space="preserve"> </w:t>
      </w:r>
    </w:p>
    <w:p w14:paraId="30435684" w14:textId="77777777" w:rsidR="00A45B03" w:rsidRDefault="00A45B03" w:rsidP="00A45B03">
      <w:pPr>
        <w:rPr>
          <w:rFonts w:cs="Verdana"/>
        </w:rPr>
      </w:pPr>
      <w:r>
        <w:rPr>
          <w:rFonts w:cs="Verdana"/>
        </w:rPr>
        <w:t>Vermenigvuldiging in wat voor vorm dan ook is alleen toegestaan door voorafgaande toestemming door De Duurzame Adviseurs.</w:t>
      </w:r>
    </w:p>
    <w:p w14:paraId="225AD142" w14:textId="77777777" w:rsidR="00A45B03" w:rsidRDefault="00A45B03" w:rsidP="00A45B03">
      <w:pPr>
        <w:rPr>
          <w:rFonts w:cs="Verdana"/>
        </w:rPr>
      </w:pPr>
    </w:p>
    <w:p w14:paraId="111A9983" w14:textId="77777777" w:rsidR="00A45B03" w:rsidRPr="003A2D7C" w:rsidRDefault="00A45B03" w:rsidP="00A45B03">
      <w:pPr>
        <w:spacing w:line="276" w:lineRule="auto"/>
        <w:rPr>
          <w:rFonts w:cs="Verdana"/>
          <w:color w:val="6ABD92"/>
          <w:sz w:val="22"/>
          <w:szCs w:val="22"/>
        </w:rPr>
      </w:pPr>
      <w:r w:rsidRPr="003A2D7C">
        <w:rPr>
          <w:rFonts w:cs="Verdana"/>
          <w:color w:val="6ABD92"/>
          <w:sz w:val="22"/>
          <w:szCs w:val="22"/>
        </w:rPr>
        <w:t>Ondertekening</w:t>
      </w:r>
    </w:p>
    <w:p w14:paraId="447FE379" w14:textId="3F08BDB2" w:rsidR="00A45B03" w:rsidRPr="00AB5365" w:rsidRDefault="00A45B03" w:rsidP="00A45B03">
      <w:pPr>
        <w:spacing w:line="276" w:lineRule="auto"/>
        <w:jc w:val="left"/>
      </w:pPr>
      <w:r w:rsidRPr="00AB5365">
        <w:t>Auteur(s):</w:t>
      </w:r>
      <w:r w:rsidRPr="00AB5365">
        <w:tab/>
      </w:r>
      <w:r w:rsidRPr="00AB5365">
        <w:tab/>
      </w:r>
      <w:r w:rsidRPr="00AB5365">
        <w:tab/>
      </w:r>
      <w:r w:rsidRPr="00AB5365">
        <w:tab/>
      </w:r>
      <w:r w:rsidR="00522956">
        <w:t>Guus de Jong</w:t>
      </w:r>
      <w:r w:rsidRPr="00AB5365">
        <w:t>,</w:t>
      </w:r>
      <w:r w:rsidR="00F43CB9" w:rsidRPr="00AB5365">
        <w:t xml:space="preserve"> </w:t>
      </w:r>
      <w:r w:rsidRPr="00AB5365">
        <w:t>De Duurzame Adviseurs</w:t>
      </w:r>
    </w:p>
    <w:p w14:paraId="79466B3A" w14:textId="5C808317" w:rsidR="00A45B03" w:rsidRPr="00D62D9F" w:rsidRDefault="00A45B03" w:rsidP="00A45B03">
      <w:pPr>
        <w:spacing w:line="276" w:lineRule="auto"/>
      </w:pPr>
      <w:r w:rsidRPr="00AB5365">
        <w:t>Kenmerk:</w:t>
      </w:r>
      <w:r w:rsidRPr="00AB5365">
        <w:tab/>
      </w:r>
      <w:r w:rsidRPr="00AB5365">
        <w:tab/>
      </w:r>
      <w:r w:rsidRPr="00AB5365">
        <w:tab/>
      </w:r>
      <w:r w:rsidRPr="00AB5365">
        <w:tab/>
      </w:r>
      <w:r w:rsidR="00D41B4C" w:rsidRPr="00AB5365">
        <w:t>CO</w:t>
      </w:r>
      <w:r w:rsidR="00D41B4C" w:rsidRPr="00AB5365">
        <w:rPr>
          <w:vertAlign w:val="subscript"/>
        </w:rPr>
        <w:t>2</w:t>
      </w:r>
      <w:r w:rsidR="00D41B4C" w:rsidRPr="00AB5365">
        <w:t>-</w:t>
      </w:r>
      <w:r w:rsidR="00D41B4C" w:rsidRPr="00D62D9F">
        <w:t xml:space="preserve">Prestatieladder </w:t>
      </w:r>
      <w:r w:rsidR="00D2581B" w:rsidRPr="00D62D9F">
        <w:t>V</w:t>
      </w:r>
      <w:r w:rsidR="00D41B4C" w:rsidRPr="00D62D9F">
        <w:t>erslag 20</w:t>
      </w:r>
      <w:r w:rsidR="00AB5365" w:rsidRPr="00D62D9F">
        <w:t>2</w:t>
      </w:r>
      <w:r w:rsidR="00522956">
        <w:t>4</w:t>
      </w:r>
    </w:p>
    <w:p w14:paraId="1D8C7AD8" w14:textId="5F2F6AD1" w:rsidR="00A45B03" w:rsidRPr="00D62D9F" w:rsidRDefault="00A45B03" w:rsidP="00A45B03">
      <w:pPr>
        <w:spacing w:line="276" w:lineRule="auto"/>
      </w:pPr>
      <w:r w:rsidRPr="00D62D9F">
        <w:t>Datum</w:t>
      </w:r>
      <w:r w:rsidR="00C501D6" w:rsidRPr="00D62D9F">
        <w:t xml:space="preserve"> ondertekening</w:t>
      </w:r>
      <w:r w:rsidRPr="00D62D9F">
        <w:t>:</w:t>
      </w:r>
      <w:r w:rsidRPr="00D62D9F">
        <w:tab/>
      </w:r>
      <w:r w:rsidRPr="00D62D9F">
        <w:tab/>
      </w:r>
      <w:r w:rsidR="00AF4E72">
        <w:t>07-07</w:t>
      </w:r>
      <w:r w:rsidR="00AF4E72">
        <w:rPr>
          <w:color w:val="ED7D31" w:themeColor="accent2"/>
        </w:rPr>
        <w:t>-2025</w:t>
      </w:r>
    </w:p>
    <w:p w14:paraId="1F4814FA" w14:textId="36539D3A" w:rsidR="00A45B03" w:rsidRPr="00AB5365" w:rsidRDefault="00A45B03" w:rsidP="00A45B03">
      <w:pPr>
        <w:spacing w:line="276" w:lineRule="auto"/>
      </w:pPr>
      <w:r w:rsidRPr="00AB5365">
        <w:t>Verantwoordelijke</w:t>
      </w:r>
      <w:r w:rsidR="00AB0545" w:rsidRPr="00AB5365">
        <w:t xml:space="preserve"> projectleider</w:t>
      </w:r>
      <w:r w:rsidRPr="00AB5365">
        <w:t>:</w:t>
      </w:r>
      <w:r w:rsidRPr="00AB5365">
        <w:tab/>
      </w:r>
      <w:r w:rsidR="00AF4E72">
        <w:t>M. Rademakers</w:t>
      </w:r>
      <w:r w:rsidRPr="00AB5365">
        <w:t xml:space="preserve"> </w:t>
      </w:r>
    </w:p>
    <w:p w14:paraId="2B598CDE" w14:textId="77777777" w:rsidR="00A45B03" w:rsidRDefault="00A45B03" w:rsidP="00A45B03">
      <w:pPr>
        <w:spacing w:line="276" w:lineRule="auto"/>
      </w:pPr>
    </w:p>
    <w:p w14:paraId="257DF685" w14:textId="77777777" w:rsidR="00D41B4C" w:rsidRPr="00D670A8" w:rsidRDefault="00D41B4C" w:rsidP="00A45B03">
      <w:pPr>
        <w:spacing w:line="276" w:lineRule="auto"/>
      </w:pPr>
    </w:p>
    <w:p w14:paraId="6C6705EF" w14:textId="77777777" w:rsidR="006C2E3E" w:rsidRPr="00BA3E48" w:rsidRDefault="002C13CF">
      <w:r>
        <w:br w:type="page"/>
      </w:r>
    </w:p>
    <w:p w14:paraId="475B95D0" w14:textId="77777777" w:rsidR="006C2E3E" w:rsidRPr="00BA3E48" w:rsidRDefault="00DF3E2B" w:rsidP="00DF3E2B">
      <w:pPr>
        <w:pStyle w:val="Kop1"/>
        <w:numPr>
          <w:ilvl w:val="0"/>
          <w:numId w:val="0"/>
        </w:numPr>
        <w:ind w:left="432" w:hanging="432"/>
      </w:pPr>
      <w:bookmarkStart w:id="133" w:name="_Toc118736253"/>
      <w:bookmarkStart w:id="134" w:name="_Toc142472146"/>
      <w:r w:rsidRPr="00BA3E48">
        <w:lastRenderedPageBreak/>
        <w:t>Bijlagen</w:t>
      </w:r>
      <w:bookmarkEnd w:id="133"/>
      <w:bookmarkEnd w:id="134"/>
    </w:p>
    <w:p w14:paraId="1F8F2D4C" w14:textId="77777777" w:rsidR="00DF3E2B" w:rsidRPr="00BA3E48" w:rsidRDefault="00DF3E2B" w:rsidP="00DF3E2B"/>
    <w:p w14:paraId="52C98331" w14:textId="77777777" w:rsidR="00DF3E2B" w:rsidRPr="00A75273" w:rsidRDefault="00DF3E2B" w:rsidP="00DF3E2B">
      <w:pPr>
        <w:pStyle w:val="Kop2"/>
        <w:numPr>
          <w:ilvl w:val="0"/>
          <w:numId w:val="0"/>
        </w:numPr>
        <w:ind w:left="576" w:hanging="576"/>
      </w:pPr>
      <w:bookmarkStart w:id="135" w:name="_Toc118736254"/>
      <w:bookmarkStart w:id="136" w:name="_Toc142472147"/>
      <w:r w:rsidRPr="00A75273">
        <w:t>Bijlage A – Organizational boundary</w:t>
      </w:r>
      <w:bookmarkEnd w:id="135"/>
      <w:bookmarkEnd w:id="136"/>
    </w:p>
    <w:p w14:paraId="17BACCB0" w14:textId="77777777" w:rsidR="00B255A9" w:rsidRPr="00A75273" w:rsidRDefault="00B255A9" w:rsidP="00B255A9"/>
    <w:p w14:paraId="7AD831D3" w14:textId="77777777" w:rsidR="00A5567B" w:rsidRDefault="00A5567B" w:rsidP="00A5567B">
      <w:r>
        <w:t xml:space="preserve">De organizational boundary is opgesteld volgens de laterale methode zoals beschreven in </w:t>
      </w:r>
      <w:r w:rsidRPr="00BA3E48">
        <w:rPr>
          <w:i/>
          <w:iCs/>
        </w:rPr>
        <w:t>Handboek CO</w:t>
      </w:r>
      <w:r w:rsidRPr="00BA3E48">
        <w:rPr>
          <w:i/>
          <w:iCs/>
          <w:vertAlign w:val="subscript"/>
        </w:rPr>
        <w:t>2</w:t>
      </w:r>
      <w:r w:rsidRPr="00BA3E48">
        <w:rPr>
          <w:i/>
          <w:iCs/>
        </w:rPr>
        <w:t>-Prestatieladder 3.1, hoofdstuk 4.</w:t>
      </w:r>
      <w:r>
        <w:rPr>
          <w:i/>
          <w:iCs/>
        </w:rPr>
        <w:t xml:space="preserve"> </w:t>
      </w:r>
      <w:r>
        <w:t xml:space="preserve">Deze methode omvat deels de eisen van </w:t>
      </w:r>
      <w:r w:rsidRPr="00BA3E48">
        <w:rPr>
          <w:i/>
          <w:iCs/>
        </w:rPr>
        <w:t>Greenhouse Gas Protocol – A Corporate Accounting and Reporting Standard:2004, hoofdstuk 3</w:t>
      </w:r>
      <w:r>
        <w:t xml:space="preserve">, en is deels maatwerk voor de </w:t>
      </w:r>
      <w:r w:rsidRPr="006C3145">
        <w:t>CO</w:t>
      </w:r>
      <w:r w:rsidRPr="006C3145">
        <w:rPr>
          <w:vertAlign w:val="subscript"/>
        </w:rPr>
        <w:t>2</w:t>
      </w:r>
      <w:r>
        <w:t xml:space="preserve">-Prestatieladder. </w:t>
      </w:r>
    </w:p>
    <w:p w14:paraId="52FC6662" w14:textId="77777777" w:rsidR="00A5567B" w:rsidRDefault="00A5567B" w:rsidP="00A5567B"/>
    <w:p w14:paraId="37F0ABD2" w14:textId="77777777" w:rsidR="00A5567B" w:rsidRDefault="00A5567B" w:rsidP="00A5567B">
      <w:pPr>
        <w:pStyle w:val="Kop3"/>
        <w:numPr>
          <w:ilvl w:val="0"/>
          <w:numId w:val="0"/>
        </w:numPr>
        <w:ind w:left="720" w:hanging="720"/>
      </w:pPr>
      <w:bookmarkStart w:id="137" w:name="_Toc118736255"/>
      <w:bookmarkStart w:id="138" w:name="_Toc142472148"/>
      <w:r>
        <w:t>KvK uittreksel</w:t>
      </w:r>
      <w:bookmarkEnd w:id="137"/>
      <w:bookmarkEnd w:id="138"/>
    </w:p>
    <w:p w14:paraId="50C33A04" w14:textId="2BF526E8" w:rsidR="0078109B" w:rsidRPr="00740E3C" w:rsidRDefault="0078109B" w:rsidP="0078109B">
      <w:r w:rsidRPr="00740E3C">
        <w:t>Het startpunt van de organizational boundary is de juridische entiteit CityTec B.</w:t>
      </w:r>
      <w:r>
        <w:t>V</w:t>
      </w:r>
      <w:r w:rsidRPr="00740E3C">
        <w:t>. Vanuit de KvK wordt duidelijk dat het volledige concern er als volgt uitziet:</w:t>
      </w:r>
    </w:p>
    <w:p w14:paraId="6C958A89" w14:textId="77777777" w:rsidR="0078109B" w:rsidRDefault="0078109B" w:rsidP="0078109B">
      <w:pPr>
        <w:rPr>
          <w:color w:val="000000" w:themeColor="text1"/>
        </w:rPr>
      </w:pPr>
    </w:p>
    <w:p w14:paraId="2292A6C9" w14:textId="06E32E7D" w:rsidR="00A5567B" w:rsidRPr="006E4FC1" w:rsidRDefault="0078109B" w:rsidP="00A5567B">
      <w:pPr>
        <w:rPr>
          <w:color w:val="ED7D31" w:themeColor="accent2"/>
        </w:rPr>
      </w:pPr>
      <w:r>
        <w:rPr>
          <w:noProof/>
          <w:color w:val="ED7D31" w:themeColor="accent2"/>
        </w:rPr>
        <w:drawing>
          <wp:inline distT="0" distB="0" distL="0" distR="0" wp14:anchorId="0CEA5C43" wp14:editId="15E231C3">
            <wp:extent cx="4356406" cy="2242268"/>
            <wp:effectExtent l="0" t="0" r="0" b="5715"/>
            <wp:docPr id="1145642793" name="Afbeelding 114564279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35">
                      <a:extLst>
                        <a:ext uri="{28A0092B-C50C-407E-A947-70E740481C1C}">
                          <a14:useLocalDpi xmlns:a14="http://schemas.microsoft.com/office/drawing/2010/main" val="0"/>
                        </a:ext>
                      </a:extLst>
                    </a:blip>
                    <a:stretch>
                      <a:fillRect/>
                    </a:stretch>
                  </pic:blipFill>
                  <pic:spPr>
                    <a:xfrm>
                      <a:off x="0" y="0"/>
                      <a:ext cx="4390195" cy="2259660"/>
                    </a:xfrm>
                    <a:prstGeom prst="rect">
                      <a:avLst/>
                    </a:prstGeom>
                  </pic:spPr>
                </pic:pic>
              </a:graphicData>
            </a:graphic>
          </wp:inline>
        </w:drawing>
      </w:r>
    </w:p>
    <w:p w14:paraId="6F153C84" w14:textId="77777777" w:rsidR="00A5567B" w:rsidRDefault="00A5567B" w:rsidP="00A5567B">
      <w:pPr>
        <w:pStyle w:val="Kop3"/>
        <w:numPr>
          <w:ilvl w:val="0"/>
          <w:numId w:val="0"/>
        </w:numPr>
        <w:ind w:left="720" w:hanging="720"/>
      </w:pPr>
      <w:bookmarkStart w:id="139" w:name="_Toc118736257"/>
      <w:bookmarkStart w:id="140" w:name="_Toc142472150"/>
      <w:r>
        <w:t>Toepassing van laterale methode</w:t>
      </w:r>
      <w:bookmarkEnd w:id="139"/>
      <w:bookmarkEnd w:id="140"/>
    </w:p>
    <w:p w14:paraId="1CBF8971" w14:textId="6FF3F53C" w:rsidR="00A5567B" w:rsidRDefault="00A5567B" w:rsidP="00A5567B">
      <w:r>
        <w:t>Na het toepassen van de methode volgens het GHG Protocol is de laterale methode uitgevoerd. Hierbij dient d</w:t>
      </w:r>
      <w:r w:rsidRPr="000259D7">
        <w:t>e organizational boundary zodanig gekozen te zijn dat er geen C-aanbieders</w:t>
      </w:r>
      <w:r>
        <w:t xml:space="preserve"> zich</w:t>
      </w:r>
      <w:r w:rsidRPr="000259D7">
        <w:t xml:space="preserve"> onder de A-aanbieders bev</w:t>
      </w:r>
      <w:r>
        <w:t xml:space="preserve">inden. Daarom is een AC-analyse uitgevoerd van de aanbieders. Op basis van de inkoopgegevens van de grootste aanbieders is onderstaand overzicht opgemaakt. Deze vormen samen ten minste 80% van de totale inkoopomzet (A-aanbieders). Vervolgens is geanalyseerd of onder deze A-aanbieders tevens C-aanbieders (concernaanbieder) zich bevinden. Indien dit het geval is worden deze geclassificeerd als AC-aanbieders en dienen deze te worden toegevoegd aan de organizational boundary. Deze analyse is herhaald totdat er geen AC-aanbieders zich bevonden tussen de A-aanbieders. </w:t>
      </w:r>
      <w:r w:rsidR="007C30CA">
        <w:t xml:space="preserve">De analyse kan worden gevonden in het Excel document “AC-analyse”. </w:t>
      </w:r>
      <w:r>
        <w:t xml:space="preserve"> </w:t>
      </w:r>
    </w:p>
    <w:p w14:paraId="5FBFE495" w14:textId="77777777" w:rsidR="00E73CE9" w:rsidRDefault="00E73CE9" w:rsidP="00A5567B"/>
    <w:tbl>
      <w:tblPr>
        <w:tblW w:w="5387" w:type="dxa"/>
        <w:tblCellMar>
          <w:left w:w="70" w:type="dxa"/>
          <w:right w:w="70" w:type="dxa"/>
        </w:tblCellMar>
        <w:tblLook w:val="04A0" w:firstRow="1" w:lastRow="0" w:firstColumn="1" w:lastColumn="0" w:noHBand="0" w:noVBand="1"/>
      </w:tblPr>
      <w:tblGrid>
        <w:gridCol w:w="2977"/>
        <w:gridCol w:w="466"/>
        <w:gridCol w:w="1944"/>
      </w:tblGrid>
      <w:tr w:rsidR="00E73CE9" w:rsidRPr="00E73CE9" w14:paraId="6BAD92C6" w14:textId="77777777" w:rsidTr="00E73CE9">
        <w:trPr>
          <w:trHeight w:val="315"/>
        </w:trPr>
        <w:tc>
          <w:tcPr>
            <w:tcW w:w="2977" w:type="dxa"/>
            <w:tcBorders>
              <w:top w:val="single" w:sz="12" w:space="0" w:color="FFFFFF"/>
              <w:left w:val="nil"/>
              <w:bottom w:val="nil"/>
              <w:right w:val="nil"/>
            </w:tcBorders>
            <w:shd w:val="clear" w:color="7F7F7F" w:fill="D9D9D9"/>
            <w:noWrap/>
            <w:vAlign w:val="bottom"/>
            <w:hideMark/>
          </w:tcPr>
          <w:p w14:paraId="68515EEF" w14:textId="77777777" w:rsidR="00E73CE9" w:rsidRPr="00E73CE9" w:rsidRDefault="00E73CE9" w:rsidP="00E73CE9">
            <w:pPr>
              <w:jc w:val="left"/>
              <w:rPr>
                <w:rFonts w:eastAsia="Times New Roman" w:cs="Times New Roman"/>
                <w:b/>
                <w:bCs/>
                <w:sz w:val="24"/>
                <w:lang w:eastAsia="nl-NL"/>
              </w:rPr>
            </w:pPr>
            <w:r w:rsidRPr="00E73CE9">
              <w:rPr>
                <w:rFonts w:eastAsia="Times New Roman" w:cs="Times New Roman"/>
                <w:b/>
                <w:bCs/>
                <w:sz w:val="24"/>
                <w:lang w:eastAsia="nl-NL"/>
              </w:rPr>
              <w:t>CREDITEUR</w:t>
            </w:r>
          </w:p>
        </w:tc>
        <w:tc>
          <w:tcPr>
            <w:tcW w:w="466" w:type="dxa"/>
            <w:tcBorders>
              <w:top w:val="single" w:sz="12" w:space="0" w:color="FFFFFF"/>
              <w:left w:val="nil"/>
              <w:bottom w:val="nil"/>
              <w:right w:val="nil"/>
            </w:tcBorders>
            <w:shd w:val="clear" w:color="7F7F7F" w:fill="D9D9D9"/>
            <w:noWrap/>
            <w:vAlign w:val="bottom"/>
            <w:hideMark/>
          </w:tcPr>
          <w:p w14:paraId="14B3F562" w14:textId="77777777" w:rsidR="00E73CE9" w:rsidRPr="00E73CE9" w:rsidRDefault="00E73CE9" w:rsidP="00E73CE9">
            <w:pPr>
              <w:jc w:val="left"/>
              <w:rPr>
                <w:rFonts w:eastAsia="Times New Roman" w:cs="Times New Roman"/>
                <w:b/>
                <w:bCs/>
                <w:sz w:val="24"/>
                <w:lang w:eastAsia="nl-NL"/>
              </w:rPr>
            </w:pPr>
            <w:r w:rsidRPr="00E73CE9">
              <w:rPr>
                <w:rFonts w:eastAsia="Times New Roman" w:cs="Times New Roman"/>
                <w:b/>
                <w:bCs/>
                <w:sz w:val="24"/>
                <w:lang w:eastAsia="nl-NL"/>
              </w:rPr>
              <w:t>%</w:t>
            </w:r>
          </w:p>
        </w:tc>
        <w:tc>
          <w:tcPr>
            <w:tcW w:w="1944" w:type="dxa"/>
            <w:tcBorders>
              <w:top w:val="single" w:sz="12" w:space="0" w:color="FFFFFF"/>
              <w:left w:val="nil"/>
              <w:bottom w:val="nil"/>
              <w:right w:val="nil"/>
            </w:tcBorders>
            <w:shd w:val="clear" w:color="7F7F7F" w:fill="D9D9D9"/>
            <w:noWrap/>
            <w:vAlign w:val="bottom"/>
            <w:hideMark/>
          </w:tcPr>
          <w:p w14:paraId="56D95C0F" w14:textId="77777777" w:rsidR="00E73CE9" w:rsidRPr="00E73CE9" w:rsidRDefault="00E73CE9" w:rsidP="00E73CE9">
            <w:pPr>
              <w:jc w:val="left"/>
              <w:rPr>
                <w:rFonts w:eastAsia="Times New Roman" w:cs="Times New Roman"/>
                <w:b/>
                <w:bCs/>
                <w:sz w:val="24"/>
                <w:lang w:eastAsia="nl-NL"/>
              </w:rPr>
            </w:pPr>
            <w:r w:rsidRPr="00E73CE9">
              <w:rPr>
                <w:rFonts w:eastAsia="Times New Roman" w:cs="Times New Roman"/>
                <w:b/>
                <w:bCs/>
                <w:sz w:val="24"/>
                <w:lang w:eastAsia="nl-NL"/>
              </w:rPr>
              <w:t>% CUM</w:t>
            </w:r>
          </w:p>
        </w:tc>
      </w:tr>
      <w:tr w:rsidR="00E73CE9" w:rsidRPr="00E73CE9" w14:paraId="1D86082F" w14:textId="77777777" w:rsidTr="00E73CE9">
        <w:trPr>
          <w:trHeight w:val="293"/>
        </w:trPr>
        <w:tc>
          <w:tcPr>
            <w:tcW w:w="2977" w:type="dxa"/>
            <w:tcBorders>
              <w:top w:val="single" w:sz="4" w:space="0" w:color="auto"/>
              <w:left w:val="single" w:sz="4" w:space="0" w:color="auto"/>
              <w:bottom w:val="single" w:sz="12" w:space="0" w:color="FFFFFF"/>
              <w:right w:val="single" w:sz="12" w:space="0" w:color="FFFFFF"/>
            </w:tcBorders>
            <w:shd w:val="clear" w:color="000000" w:fill="F2F2F2"/>
            <w:hideMark/>
          </w:tcPr>
          <w:p w14:paraId="7CE4A246"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Sustainder B.V.</w:t>
            </w:r>
          </w:p>
        </w:tc>
        <w:tc>
          <w:tcPr>
            <w:tcW w:w="466" w:type="dxa"/>
            <w:tcBorders>
              <w:top w:val="single" w:sz="4" w:space="0" w:color="auto"/>
              <w:left w:val="nil"/>
              <w:bottom w:val="single" w:sz="8" w:space="0" w:color="FFFFFF"/>
              <w:right w:val="single" w:sz="8" w:space="0" w:color="FFFFFF"/>
            </w:tcBorders>
            <w:shd w:val="clear" w:color="FFFFFF" w:fill="F2F2F2"/>
            <w:noWrap/>
            <w:vAlign w:val="bottom"/>
            <w:hideMark/>
          </w:tcPr>
          <w:p w14:paraId="6A324A71"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w:t>
            </w:r>
          </w:p>
        </w:tc>
        <w:tc>
          <w:tcPr>
            <w:tcW w:w="1944" w:type="dxa"/>
            <w:tcBorders>
              <w:top w:val="single" w:sz="4" w:space="0" w:color="auto"/>
              <w:left w:val="nil"/>
              <w:bottom w:val="single" w:sz="8" w:space="0" w:color="FFFFFF"/>
              <w:right w:val="single" w:sz="8" w:space="0" w:color="FFFFFF"/>
            </w:tcBorders>
            <w:shd w:val="clear" w:color="FFFFFF" w:fill="F2F2F2"/>
            <w:noWrap/>
            <w:vAlign w:val="bottom"/>
            <w:hideMark/>
          </w:tcPr>
          <w:p w14:paraId="265ECA5D"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w:t>
            </w:r>
          </w:p>
        </w:tc>
      </w:tr>
      <w:tr w:rsidR="00E73CE9" w:rsidRPr="00E73CE9" w14:paraId="3B3D5EDD"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39F4C7F8"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Lightronics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7EA8473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18C0E5D2"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12%</w:t>
            </w:r>
          </w:p>
        </w:tc>
      </w:tr>
      <w:tr w:rsidR="00E73CE9" w:rsidRPr="00E73CE9" w14:paraId="41D7750C"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3C6D1941"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Schreder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406EABB4"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0BDF11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17%</w:t>
            </w:r>
          </w:p>
        </w:tc>
      </w:tr>
      <w:tr w:rsidR="00E73CE9" w:rsidRPr="00E73CE9" w14:paraId="1F81053D"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01B217EB"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Staff Industromont</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84C3B9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4%</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0F96993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21%</w:t>
            </w:r>
          </w:p>
        </w:tc>
      </w:tr>
      <w:tr w:rsidR="00E73CE9" w:rsidRPr="00E73CE9" w14:paraId="5E8A9B8E"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33B2AD5C"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Signify Netherlands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68B15EBD"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78C5AF7"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21%</w:t>
            </w:r>
          </w:p>
        </w:tc>
      </w:tr>
      <w:tr w:rsidR="00E73CE9" w:rsidRPr="00E73CE9" w14:paraId="224A2E23"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067E9119"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Valmont Nederland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40911EE2"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1A5AA3C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24%</w:t>
            </w:r>
          </w:p>
        </w:tc>
      </w:tr>
      <w:tr w:rsidR="00E73CE9" w:rsidRPr="00E73CE9" w14:paraId="69338BD1"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12D8BF92" w14:textId="77777777" w:rsidR="00E73CE9" w:rsidRPr="00E73CE9" w:rsidRDefault="00E73CE9" w:rsidP="00E73CE9">
            <w:pPr>
              <w:jc w:val="left"/>
              <w:rPr>
                <w:rFonts w:ascii="Arial" w:eastAsia="Times New Roman" w:hAnsi="Arial" w:cs="Arial"/>
                <w:sz w:val="20"/>
                <w:szCs w:val="20"/>
                <w:lang w:val="pl-PL" w:eastAsia="nl-NL"/>
              </w:rPr>
            </w:pPr>
            <w:r w:rsidRPr="00E73CE9">
              <w:rPr>
                <w:rFonts w:ascii="Arial" w:eastAsia="Times New Roman" w:hAnsi="Arial" w:cs="Arial"/>
                <w:sz w:val="20"/>
                <w:szCs w:val="20"/>
                <w:lang w:val="pl-PL" w:eastAsia="nl-NL"/>
              </w:rPr>
              <w:t>WnO infra Techniek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03A0920"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6D7CD63B"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27%</w:t>
            </w:r>
          </w:p>
        </w:tc>
      </w:tr>
      <w:tr w:rsidR="00E73CE9" w:rsidRPr="00E73CE9" w14:paraId="2E3D982D"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7987D0D3"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Orange lighting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6A63312D"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A62755E"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30%</w:t>
            </w:r>
          </w:p>
        </w:tc>
      </w:tr>
      <w:tr w:rsidR="00E73CE9" w:rsidRPr="00E73CE9" w14:paraId="0043F6A5"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0C03C819"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lastRenderedPageBreak/>
              <w:t>Nedal Aluminium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820211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53A1C65E"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33%</w:t>
            </w:r>
          </w:p>
        </w:tc>
      </w:tr>
      <w:tr w:rsidR="00E73CE9" w:rsidRPr="00E73CE9" w14:paraId="230A04E5"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4A59BA09"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Modernista</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6F42B78C"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6D885AA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35%</w:t>
            </w:r>
          </w:p>
        </w:tc>
      </w:tr>
      <w:tr w:rsidR="00E73CE9" w:rsidRPr="00E73CE9" w14:paraId="51FE81A1"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526A8B66"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Draka Kabel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5C72A97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35DBF2CD"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38%</w:t>
            </w:r>
          </w:p>
        </w:tc>
      </w:tr>
      <w:tr w:rsidR="00E73CE9" w:rsidRPr="00E73CE9" w14:paraId="7DB7B748"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2BBFF18E"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Hans Eek Infrawerken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7DA295EC"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615E678F"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40%</w:t>
            </w:r>
          </w:p>
        </w:tc>
      </w:tr>
      <w:tr w:rsidR="00E73CE9" w:rsidRPr="00E73CE9" w14:paraId="44BBD988" w14:textId="77777777" w:rsidTr="00E73CE9">
        <w:trPr>
          <w:trHeight w:val="780"/>
        </w:trPr>
        <w:tc>
          <w:tcPr>
            <w:tcW w:w="2977" w:type="dxa"/>
            <w:tcBorders>
              <w:top w:val="nil"/>
              <w:left w:val="single" w:sz="4" w:space="0" w:color="auto"/>
              <w:bottom w:val="single" w:sz="12" w:space="0" w:color="FFFFFF"/>
              <w:right w:val="single" w:sz="12" w:space="0" w:color="FFFFFF"/>
            </w:tcBorders>
            <w:shd w:val="clear" w:color="000000" w:fill="F2F2F2"/>
            <w:hideMark/>
          </w:tcPr>
          <w:p w14:paraId="0BFF394C"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PMF Machinefabriek Veendam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5945E110"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68D8157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42%</w:t>
            </w:r>
          </w:p>
        </w:tc>
      </w:tr>
      <w:tr w:rsidR="00E73CE9" w:rsidRPr="00E73CE9" w14:paraId="4798E196"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759520CD"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Ray.infra</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751855F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41A73B40"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44%</w:t>
            </w:r>
          </w:p>
        </w:tc>
      </w:tr>
      <w:tr w:rsidR="00E73CE9" w:rsidRPr="00E73CE9" w14:paraId="513D55DB"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4F132171"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VSVK Infra Techniek</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BF6BFBF"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3426D81B"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46%</w:t>
            </w:r>
          </w:p>
        </w:tc>
      </w:tr>
      <w:tr w:rsidR="00E73CE9" w:rsidRPr="00E73CE9" w14:paraId="0A840ED9"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3913886D"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OumiTech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3D659D9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E5B2AC0"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48%</w:t>
            </w:r>
          </w:p>
        </w:tc>
      </w:tr>
      <w:tr w:rsidR="00E73CE9" w:rsidRPr="00E73CE9" w14:paraId="12EBAF0E"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073A617E"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Chr. Mouwen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65BADD4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4CC73FE9"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49%</w:t>
            </w:r>
          </w:p>
        </w:tc>
      </w:tr>
      <w:tr w:rsidR="00E73CE9" w:rsidRPr="00E73CE9" w14:paraId="4E15A6F1"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76A764A7"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Alfen ICU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ECD6032"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2%</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7F005A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51%</w:t>
            </w:r>
          </w:p>
        </w:tc>
      </w:tr>
      <w:tr w:rsidR="00E73CE9" w:rsidRPr="00E73CE9" w14:paraId="1BB78936"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2FB24C49"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Lightwell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6625531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40F1EA5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53%</w:t>
            </w:r>
          </w:p>
        </w:tc>
      </w:tr>
      <w:tr w:rsidR="00E73CE9" w:rsidRPr="00E73CE9" w14:paraId="76A19F46"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6B179749"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Stedin Netbeheer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313ADFB"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25061D60"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54%</w:t>
            </w:r>
          </w:p>
        </w:tc>
      </w:tr>
      <w:tr w:rsidR="00E73CE9" w:rsidRPr="00E73CE9" w14:paraId="7787F40D" w14:textId="77777777" w:rsidTr="00E73CE9">
        <w:trPr>
          <w:trHeight w:val="780"/>
        </w:trPr>
        <w:tc>
          <w:tcPr>
            <w:tcW w:w="2977" w:type="dxa"/>
            <w:tcBorders>
              <w:top w:val="nil"/>
              <w:left w:val="single" w:sz="4" w:space="0" w:color="auto"/>
              <w:bottom w:val="single" w:sz="12" w:space="0" w:color="FFFFFF"/>
              <w:right w:val="single" w:sz="12" w:space="0" w:color="FFFFFF"/>
            </w:tcBorders>
            <w:shd w:val="clear" w:color="000000" w:fill="F2F2F2"/>
            <w:hideMark/>
          </w:tcPr>
          <w:p w14:paraId="31684880"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Oostendorp Nederland Data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8B22AF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36265497"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55%</w:t>
            </w:r>
          </w:p>
        </w:tc>
      </w:tr>
      <w:tr w:rsidR="00E73CE9" w:rsidRPr="00E73CE9" w14:paraId="1FDD65C6"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35AA96B3"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VDL Mast Solutions</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6C643428"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5B31C848"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57%</w:t>
            </w:r>
          </w:p>
        </w:tc>
      </w:tr>
      <w:tr w:rsidR="00E73CE9" w:rsidRPr="00E73CE9" w14:paraId="7D1459D0"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0B961AD3"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Pole Products</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188FC57B"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5E97B55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58%</w:t>
            </w:r>
          </w:p>
        </w:tc>
      </w:tr>
      <w:tr w:rsidR="00E73CE9" w:rsidRPr="00E73CE9" w14:paraId="165F5608"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10C67BE6"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TS Group Holland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98BD96F"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521379C"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59%</w:t>
            </w:r>
          </w:p>
        </w:tc>
      </w:tr>
      <w:tr w:rsidR="00E73CE9" w:rsidRPr="00E73CE9" w14:paraId="2C7021FF"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62743C35"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BUKO Infrasupport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036AC2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6C77010C"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61%</w:t>
            </w:r>
          </w:p>
        </w:tc>
      </w:tr>
      <w:tr w:rsidR="00E73CE9" w:rsidRPr="00E73CE9" w14:paraId="6BC2D565"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64D4F832"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Peenstra Knikladerverhuur</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594277B8"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65F7BAB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62%</w:t>
            </w:r>
          </w:p>
        </w:tc>
      </w:tr>
      <w:tr w:rsidR="00E73CE9" w:rsidRPr="00E73CE9" w14:paraId="4E75824B"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2C817882"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De Nood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7DF8CD98"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4CF42D2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63%</w:t>
            </w:r>
          </w:p>
        </w:tc>
      </w:tr>
      <w:tr w:rsidR="00E73CE9" w:rsidRPr="00E73CE9" w14:paraId="0ECB6CC6"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0D144F84"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EMPI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5F3B2D61"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C48C571"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64%</w:t>
            </w:r>
          </w:p>
        </w:tc>
      </w:tr>
      <w:tr w:rsidR="00E73CE9" w:rsidRPr="00E73CE9" w14:paraId="1DA3BF08"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2D18B0FC"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Licht NL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74A913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2B17A0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65%</w:t>
            </w:r>
          </w:p>
        </w:tc>
      </w:tr>
      <w:tr w:rsidR="00E73CE9" w:rsidRPr="00E73CE9" w14:paraId="728C8ECA"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2DE450E0"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Enexis Netbeheer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AFF7958"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25DEE1E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66%</w:t>
            </w:r>
          </w:p>
        </w:tc>
      </w:tr>
      <w:tr w:rsidR="00E73CE9" w:rsidRPr="00E73CE9" w14:paraId="33B566A6"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154EC69C"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ServiceJuist</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A25FF74"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6EC5C221"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67%</w:t>
            </w:r>
          </w:p>
        </w:tc>
      </w:tr>
      <w:tr w:rsidR="00E73CE9" w:rsidRPr="00E73CE9" w14:paraId="2567689A"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512FAF1E"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Swarco Nederland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D5DF04F"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07D8DB72"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68%</w:t>
            </w:r>
          </w:p>
        </w:tc>
      </w:tr>
      <w:tr w:rsidR="00E73CE9" w:rsidRPr="00E73CE9" w14:paraId="52AB6720"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0B249AAA"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Royalty Euro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164E208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4E41F04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69%</w:t>
            </w:r>
          </w:p>
        </w:tc>
      </w:tr>
      <w:tr w:rsidR="00E73CE9" w:rsidRPr="00E73CE9" w14:paraId="096197BC"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14A00B39" w14:textId="77777777" w:rsidR="00E73CE9" w:rsidRPr="00E73CE9" w:rsidRDefault="00E73CE9" w:rsidP="00E73CE9">
            <w:pPr>
              <w:jc w:val="left"/>
              <w:rPr>
                <w:rFonts w:ascii="Arial" w:eastAsia="Times New Roman" w:hAnsi="Arial" w:cs="Arial"/>
                <w:sz w:val="20"/>
                <w:szCs w:val="20"/>
                <w:lang w:val="en-US" w:eastAsia="nl-NL"/>
              </w:rPr>
            </w:pPr>
            <w:r w:rsidRPr="00E73CE9">
              <w:rPr>
                <w:rFonts w:ascii="Arial" w:eastAsia="Times New Roman" w:hAnsi="Arial" w:cs="Arial"/>
                <w:sz w:val="20"/>
                <w:szCs w:val="20"/>
                <w:lang w:val="en-US" w:eastAsia="nl-NL"/>
              </w:rPr>
              <w:t>HIG Traffic Systems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5ADB3FF4"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283160F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70%</w:t>
            </w:r>
          </w:p>
        </w:tc>
      </w:tr>
      <w:tr w:rsidR="00E73CE9" w:rsidRPr="00E73CE9" w14:paraId="345D0530" w14:textId="77777777" w:rsidTr="00E73CE9">
        <w:trPr>
          <w:trHeight w:val="525"/>
        </w:trPr>
        <w:tc>
          <w:tcPr>
            <w:tcW w:w="2977" w:type="dxa"/>
            <w:tcBorders>
              <w:top w:val="nil"/>
              <w:left w:val="single" w:sz="4" w:space="0" w:color="auto"/>
              <w:bottom w:val="single" w:sz="12" w:space="0" w:color="FFFFFF"/>
              <w:right w:val="single" w:sz="12" w:space="0" w:color="FFFFFF"/>
            </w:tcBorders>
            <w:shd w:val="clear" w:color="000000" w:fill="F2F2F2"/>
            <w:hideMark/>
          </w:tcPr>
          <w:p w14:paraId="0006BD06"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Hoeflake Infratechniek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1D8E4BB9"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6FBC90E"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70%</w:t>
            </w:r>
          </w:p>
        </w:tc>
      </w:tr>
      <w:tr w:rsidR="00E73CE9" w:rsidRPr="00E73CE9" w14:paraId="0955BA51" w14:textId="77777777" w:rsidTr="00E73CE9">
        <w:trPr>
          <w:trHeight w:val="300"/>
        </w:trPr>
        <w:tc>
          <w:tcPr>
            <w:tcW w:w="2977" w:type="dxa"/>
            <w:tcBorders>
              <w:top w:val="nil"/>
              <w:left w:val="single" w:sz="4" w:space="0" w:color="auto"/>
              <w:bottom w:val="single" w:sz="12" w:space="0" w:color="FFFFFF"/>
              <w:right w:val="single" w:sz="12" w:space="0" w:color="FFFFFF"/>
            </w:tcBorders>
            <w:shd w:val="clear" w:color="000000" w:fill="F2F2F2"/>
            <w:hideMark/>
          </w:tcPr>
          <w:p w14:paraId="6F9CD9E0"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Siteco</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6F5F659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39C9AF4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71%</w:t>
            </w:r>
          </w:p>
        </w:tc>
      </w:tr>
      <w:tr w:rsidR="00E73CE9" w:rsidRPr="00E73CE9" w14:paraId="21BFE7E0" w14:textId="77777777" w:rsidTr="00E73CE9">
        <w:trPr>
          <w:trHeight w:val="780"/>
        </w:trPr>
        <w:tc>
          <w:tcPr>
            <w:tcW w:w="2977" w:type="dxa"/>
            <w:tcBorders>
              <w:top w:val="nil"/>
              <w:left w:val="single" w:sz="4" w:space="0" w:color="auto"/>
              <w:bottom w:val="single" w:sz="12" w:space="0" w:color="FFFFFF"/>
              <w:right w:val="single" w:sz="12" w:space="0" w:color="FFFFFF"/>
            </w:tcBorders>
            <w:shd w:val="clear" w:color="000000" w:fill="F2F2F2"/>
            <w:hideMark/>
          </w:tcPr>
          <w:p w14:paraId="38D97D82"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lastRenderedPageBreak/>
              <w:t>Versluys Verkeerstechniek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AB0B407"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37F7352E"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72%</w:t>
            </w:r>
          </w:p>
        </w:tc>
      </w:tr>
      <w:tr w:rsidR="00E73CE9" w:rsidRPr="00E73CE9" w14:paraId="2F7BD336" w14:textId="77777777" w:rsidTr="00E73CE9">
        <w:trPr>
          <w:trHeight w:val="518"/>
        </w:trPr>
        <w:tc>
          <w:tcPr>
            <w:tcW w:w="2977" w:type="dxa"/>
            <w:tcBorders>
              <w:top w:val="nil"/>
              <w:left w:val="single" w:sz="4" w:space="0" w:color="auto"/>
              <w:bottom w:val="nil"/>
              <w:right w:val="single" w:sz="12" w:space="0" w:color="FFFFFF"/>
            </w:tcBorders>
            <w:shd w:val="clear" w:color="000000" w:fill="F2F2F2"/>
            <w:hideMark/>
          </w:tcPr>
          <w:p w14:paraId="5A2F3EC3"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Liander Aansluitingen</w:t>
            </w:r>
          </w:p>
        </w:tc>
        <w:tc>
          <w:tcPr>
            <w:tcW w:w="466" w:type="dxa"/>
            <w:tcBorders>
              <w:top w:val="single" w:sz="12" w:space="0" w:color="FFFFFF"/>
              <w:left w:val="nil"/>
              <w:bottom w:val="nil"/>
              <w:right w:val="single" w:sz="8" w:space="0" w:color="FFFFFF"/>
            </w:tcBorders>
            <w:shd w:val="clear" w:color="FFFFFF" w:fill="F2F2F2"/>
            <w:noWrap/>
            <w:vAlign w:val="bottom"/>
            <w:hideMark/>
          </w:tcPr>
          <w:p w14:paraId="61879621"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nil"/>
              <w:right w:val="single" w:sz="8" w:space="0" w:color="FFFFFF"/>
            </w:tcBorders>
            <w:shd w:val="clear" w:color="FFFFFF" w:fill="F2F2F2"/>
            <w:noWrap/>
            <w:vAlign w:val="bottom"/>
            <w:hideMark/>
          </w:tcPr>
          <w:p w14:paraId="29976148"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73%</w:t>
            </w:r>
          </w:p>
        </w:tc>
      </w:tr>
      <w:tr w:rsidR="00E73CE9" w:rsidRPr="00E73CE9" w14:paraId="7FC2CBFC" w14:textId="77777777" w:rsidTr="00E73CE9">
        <w:trPr>
          <w:trHeight w:val="765"/>
        </w:trPr>
        <w:tc>
          <w:tcPr>
            <w:tcW w:w="2977" w:type="dxa"/>
            <w:tcBorders>
              <w:top w:val="nil"/>
              <w:left w:val="nil"/>
              <w:bottom w:val="nil"/>
              <w:right w:val="nil"/>
            </w:tcBorders>
            <w:shd w:val="clear" w:color="000000" w:fill="F2F2F2"/>
            <w:hideMark/>
          </w:tcPr>
          <w:p w14:paraId="3C62801B"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Onderhoudsbedrijf Jeffrey van Hees</w:t>
            </w:r>
          </w:p>
        </w:tc>
        <w:tc>
          <w:tcPr>
            <w:tcW w:w="466" w:type="dxa"/>
            <w:tcBorders>
              <w:top w:val="nil"/>
              <w:left w:val="nil"/>
              <w:bottom w:val="nil"/>
              <w:right w:val="nil"/>
            </w:tcBorders>
            <w:shd w:val="clear" w:color="FFFFFF" w:fill="F2F2F2"/>
            <w:noWrap/>
            <w:vAlign w:val="bottom"/>
            <w:hideMark/>
          </w:tcPr>
          <w:p w14:paraId="29D95C35"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nil"/>
              <w:left w:val="nil"/>
              <w:bottom w:val="nil"/>
              <w:right w:val="nil"/>
            </w:tcBorders>
            <w:shd w:val="clear" w:color="FFFFFF" w:fill="F2F2F2"/>
            <w:noWrap/>
            <w:vAlign w:val="bottom"/>
            <w:hideMark/>
          </w:tcPr>
          <w:p w14:paraId="12B3334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74%</w:t>
            </w:r>
          </w:p>
        </w:tc>
      </w:tr>
      <w:tr w:rsidR="00E73CE9" w:rsidRPr="00E73CE9" w14:paraId="443BF5A6" w14:textId="77777777" w:rsidTr="00E73CE9">
        <w:trPr>
          <w:trHeight w:val="1020"/>
        </w:trPr>
        <w:tc>
          <w:tcPr>
            <w:tcW w:w="2977" w:type="dxa"/>
            <w:tcBorders>
              <w:top w:val="nil"/>
              <w:left w:val="nil"/>
              <w:bottom w:val="nil"/>
              <w:right w:val="nil"/>
            </w:tcBorders>
            <w:shd w:val="clear" w:color="000000" w:fill="F2F2F2"/>
            <w:hideMark/>
          </w:tcPr>
          <w:p w14:paraId="6F186E4B"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Montad Elektrotechnisch Adviesbureau B.V.</w:t>
            </w:r>
          </w:p>
        </w:tc>
        <w:tc>
          <w:tcPr>
            <w:tcW w:w="466" w:type="dxa"/>
            <w:tcBorders>
              <w:top w:val="nil"/>
              <w:left w:val="nil"/>
              <w:bottom w:val="nil"/>
              <w:right w:val="nil"/>
            </w:tcBorders>
            <w:shd w:val="clear" w:color="FFFFFF" w:fill="F2F2F2"/>
            <w:noWrap/>
            <w:vAlign w:val="bottom"/>
            <w:hideMark/>
          </w:tcPr>
          <w:p w14:paraId="174C14E1"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nil"/>
              <w:left w:val="nil"/>
              <w:bottom w:val="nil"/>
              <w:right w:val="nil"/>
            </w:tcBorders>
            <w:shd w:val="clear" w:color="FFFFFF" w:fill="F2F2F2"/>
            <w:noWrap/>
            <w:vAlign w:val="bottom"/>
            <w:hideMark/>
          </w:tcPr>
          <w:p w14:paraId="5CC9C94A"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74%</w:t>
            </w:r>
          </w:p>
        </w:tc>
      </w:tr>
      <w:tr w:rsidR="00E73CE9" w:rsidRPr="00E73CE9" w14:paraId="5A24825D" w14:textId="77777777" w:rsidTr="00E73CE9">
        <w:trPr>
          <w:trHeight w:val="518"/>
        </w:trPr>
        <w:tc>
          <w:tcPr>
            <w:tcW w:w="2977" w:type="dxa"/>
            <w:tcBorders>
              <w:top w:val="nil"/>
              <w:left w:val="single" w:sz="12" w:space="0" w:color="FFFFFF"/>
              <w:bottom w:val="single" w:sz="12" w:space="0" w:color="FFFFFF"/>
              <w:right w:val="single" w:sz="12" w:space="0" w:color="FFFFFF"/>
            </w:tcBorders>
            <w:shd w:val="clear" w:color="000000" w:fill="F2F2F2"/>
            <w:hideMark/>
          </w:tcPr>
          <w:p w14:paraId="4B4BAC02"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van der Voort B.V. Hoogwerk</w:t>
            </w:r>
          </w:p>
        </w:tc>
        <w:tc>
          <w:tcPr>
            <w:tcW w:w="466" w:type="dxa"/>
            <w:tcBorders>
              <w:top w:val="nil"/>
              <w:left w:val="nil"/>
              <w:bottom w:val="single" w:sz="8" w:space="0" w:color="FFFFFF"/>
              <w:right w:val="single" w:sz="8" w:space="0" w:color="FFFFFF"/>
            </w:tcBorders>
            <w:shd w:val="clear" w:color="FFFFFF" w:fill="F2F2F2"/>
            <w:noWrap/>
            <w:vAlign w:val="bottom"/>
            <w:hideMark/>
          </w:tcPr>
          <w:p w14:paraId="3112A63D"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nil"/>
              <w:left w:val="nil"/>
              <w:bottom w:val="single" w:sz="8" w:space="0" w:color="FFFFFF"/>
              <w:right w:val="single" w:sz="8" w:space="0" w:color="FFFFFF"/>
            </w:tcBorders>
            <w:shd w:val="clear" w:color="FFFFFF" w:fill="F2F2F2"/>
            <w:noWrap/>
            <w:vAlign w:val="bottom"/>
            <w:hideMark/>
          </w:tcPr>
          <w:p w14:paraId="3380400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75%</w:t>
            </w:r>
          </w:p>
        </w:tc>
      </w:tr>
      <w:tr w:rsidR="00E73CE9" w:rsidRPr="00E73CE9" w14:paraId="2B087FFA" w14:textId="77777777" w:rsidTr="00E73CE9">
        <w:trPr>
          <w:trHeight w:val="300"/>
        </w:trPr>
        <w:tc>
          <w:tcPr>
            <w:tcW w:w="2977" w:type="dxa"/>
            <w:tcBorders>
              <w:top w:val="nil"/>
              <w:left w:val="single" w:sz="12" w:space="0" w:color="FFFFFF"/>
              <w:bottom w:val="single" w:sz="12" w:space="0" w:color="FFFFFF"/>
              <w:right w:val="single" w:sz="12" w:space="0" w:color="FFFFFF"/>
            </w:tcBorders>
            <w:shd w:val="clear" w:color="000000" w:fill="F2F2F2"/>
            <w:hideMark/>
          </w:tcPr>
          <w:p w14:paraId="45AA0A5E"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DBL Verlichting</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75C9729"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261FBFA9"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76%</w:t>
            </w:r>
          </w:p>
        </w:tc>
      </w:tr>
      <w:tr w:rsidR="00E73CE9" w:rsidRPr="00E73CE9" w14:paraId="5B83B2FF" w14:textId="77777777" w:rsidTr="00E73CE9">
        <w:trPr>
          <w:trHeight w:val="300"/>
        </w:trPr>
        <w:tc>
          <w:tcPr>
            <w:tcW w:w="2977" w:type="dxa"/>
            <w:tcBorders>
              <w:top w:val="nil"/>
              <w:left w:val="single" w:sz="12" w:space="0" w:color="FFFFFF"/>
              <w:bottom w:val="single" w:sz="12" w:space="0" w:color="FFFFFF"/>
              <w:right w:val="single" w:sz="12" w:space="0" w:color="FFFFFF"/>
            </w:tcBorders>
            <w:shd w:val="clear" w:color="000000" w:fill="F2F2F2"/>
            <w:hideMark/>
          </w:tcPr>
          <w:p w14:paraId="00225B89"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Verkley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411E55B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43CAF0C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76%</w:t>
            </w:r>
          </w:p>
        </w:tc>
      </w:tr>
      <w:tr w:rsidR="00E73CE9" w:rsidRPr="00E73CE9" w14:paraId="72DED6F3" w14:textId="77777777" w:rsidTr="00E73CE9">
        <w:trPr>
          <w:trHeight w:val="780"/>
        </w:trPr>
        <w:tc>
          <w:tcPr>
            <w:tcW w:w="2977" w:type="dxa"/>
            <w:tcBorders>
              <w:top w:val="nil"/>
              <w:left w:val="single" w:sz="12" w:space="0" w:color="FFFFFF"/>
              <w:bottom w:val="single" w:sz="12" w:space="0" w:color="FFFFFF"/>
              <w:right w:val="single" w:sz="12" w:space="0" w:color="FFFFFF"/>
            </w:tcBorders>
            <w:shd w:val="clear" w:color="000000" w:fill="F2F2F2"/>
            <w:hideMark/>
          </w:tcPr>
          <w:p w14:paraId="6676BD05"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PMF Machinefabriek Bergum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743E6798"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191918F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77%</w:t>
            </w:r>
          </w:p>
        </w:tc>
      </w:tr>
      <w:tr w:rsidR="00E73CE9" w:rsidRPr="00E73CE9" w14:paraId="077BC1F4" w14:textId="77777777" w:rsidTr="00E73CE9">
        <w:trPr>
          <w:trHeight w:val="780"/>
        </w:trPr>
        <w:tc>
          <w:tcPr>
            <w:tcW w:w="2977" w:type="dxa"/>
            <w:tcBorders>
              <w:top w:val="nil"/>
              <w:left w:val="single" w:sz="12" w:space="0" w:color="FFFFFF"/>
              <w:bottom w:val="single" w:sz="12" w:space="0" w:color="FFFFFF"/>
              <w:right w:val="single" w:sz="12" w:space="0" w:color="FFFFFF"/>
            </w:tcBorders>
            <w:shd w:val="clear" w:color="000000" w:fill="F2F2F2"/>
            <w:hideMark/>
          </w:tcPr>
          <w:p w14:paraId="69E91CB7"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Mikana Openbare Verlichting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EFF7CD0"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1A63F35C"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78%</w:t>
            </w:r>
          </w:p>
        </w:tc>
      </w:tr>
      <w:tr w:rsidR="00E73CE9" w:rsidRPr="00E73CE9" w14:paraId="5B9AE7E0" w14:textId="77777777" w:rsidTr="00E73CE9">
        <w:trPr>
          <w:trHeight w:val="525"/>
        </w:trPr>
        <w:tc>
          <w:tcPr>
            <w:tcW w:w="2977" w:type="dxa"/>
            <w:tcBorders>
              <w:top w:val="nil"/>
              <w:left w:val="single" w:sz="12" w:space="0" w:color="FFFFFF"/>
              <w:bottom w:val="single" w:sz="12" w:space="0" w:color="FFFFFF"/>
              <w:right w:val="single" w:sz="12" w:space="0" w:color="FFFFFF"/>
            </w:tcBorders>
            <w:shd w:val="clear" w:color="000000" w:fill="F2F2F2"/>
            <w:hideMark/>
          </w:tcPr>
          <w:p w14:paraId="31CC6397"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Vialis BV Mobiliteit</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915694E"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157599D3"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78%</w:t>
            </w:r>
          </w:p>
        </w:tc>
      </w:tr>
      <w:tr w:rsidR="00E73CE9" w:rsidRPr="00E73CE9" w14:paraId="0BB1B155" w14:textId="77777777" w:rsidTr="00E73CE9">
        <w:trPr>
          <w:trHeight w:val="525"/>
        </w:trPr>
        <w:tc>
          <w:tcPr>
            <w:tcW w:w="2977" w:type="dxa"/>
            <w:tcBorders>
              <w:top w:val="nil"/>
              <w:left w:val="single" w:sz="12" w:space="0" w:color="FFFFFF"/>
              <w:bottom w:val="single" w:sz="12" w:space="0" w:color="FFFFFF"/>
              <w:right w:val="single" w:sz="12" w:space="0" w:color="FFFFFF"/>
            </w:tcBorders>
            <w:shd w:val="clear" w:color="000000" w:fill="F2F2F2"/>
            <w:hideMark/>
          </w:tcPr>
          <w:p w14:paraId="60BE6D5D"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Innolumis Public Lighting</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047685B2"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51F3A946"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79%</w:t>
            </w:r>
          </w:p>
        </w:tc>
      </w:tr>
      <w:tr w:rsidR="00E73CE9" w:rsidRPr="00E73CE9" w14:paraId="0A93F229" w14:textId="77777777" w:rsidTr="00E73CE9">
        <w:trPr>
          <w:trHeight w:val="300"/>
        </w:trPr>
        <w:tc>
          <w:tcPr>
            <w:tcW w:w="2977" w:type="dxa"/>
            <w:tcBorders>
              <w:top w:val="nil"/>
              <w:left w:val="single" w:sz="12" w:space="0" w:color="FFFFFF"/>
              <w:bottom w:val="single" w:sz="12" w:space="0" w:color="FFFFFF"/>
              <w:right w:val="single" w:sz="12" w:space="0" w:color="FFFFFF"/>
            </w:tcBorders>
            <w:shd w:val="clear" w:color="000000" w:fill="F2F2F2"/>
            <w:hideMark/>
          </w:tcPr>
          <w:p w14:paraId="3AECC79F"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Nedelko B.V.</w:t>
            </w:r>
          </w:p>
        </w:tc>
        <w:tc>
          <w:tcPr>
            <w:tcW w:w="466" w:type="dxa"/>
            <w:tcBorders>
              <w:top w:val="single" w:sz="12" w:space="0" w:color="FFFFFF"/>
              <w:left w:val="nil"/>
              <w:bottom w:val="single" w:sz="8" w:space="0" w:color="FFFFFF"/>
              <w:right w:val="single" w:sz="8" w:space="0" w:color="FFFFFF"/>
            </w:tcBorders>
            <w:shd w:val="clear" w:color="FFFFFF" w:fill="F2F2F2"/>
            <w:noWrap/>
            <w:vAlign w:val="bottom"/>
            <w:hideMark/>
          </w:tcPr>
          <w:p w14:paraId="28B2EC04"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FFFFFF"/>
              <w:right w:val="single" w:sz="8" w:space="0" w:color="FFFFFF"/>
            </w:tcBorders>
            <w:shd w:val="clear" w:color="FFFFFF" w:fill="F2F2F2"/>
            <w:noWrap/>
            <w:vAlign w:val="bottom"/>
            <w:hideMark/>
          </w:tcPr>
          <w:p w14:paraId="73151357"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79%</w:t>
            </w:r>
          </w:p>
        </w:tc>
      </w:tr>
      <w:tr w:rsidR="00E73CE9" w:rsidRPr="00E73CE9" w14:paraId="2CFAA58A" w14:textId="77777777" w:rsidTr="00E73CE9">
        <w:trPr>
          <w:trHeight w:val="524"/>
        </w:trPr>
        <w:tc>
          <w:tcPr>
            <w:tcW w:w="2977" w:type="dxa"/>
            <w:tcBorders>
              <w:top w:val="nil"/>
              <w:left w:val="single" w:sz="12" w:space="0" w:color="FFFFFF"/>
              <w:bottom w:val="single" w:sz="8" w:space="0" w:color="auto"/>
              <w:right w:val="single" w:sz="12" w:space="0" w:color="FFFFFF"/>
            </w:tcBorders>
            <w:shd w:val="clear" w:color="000000" w:fill="F2F2F2"/>
            <w:hideMark/>
          </w:tcPr>
          <w:p w14:paraId="68BDC49E" w14:textId="77777777" w:rsidR="00E73CE9" w:rsidRPr="00E73CE9" w:rsidRDefault="00E73CE9" w:rsidP="00E73CE9">
            <w:pPr>
              <w:jc w:val="left"/>
              <w:rPr>
                <w:rFonts w:ascii="Arial" w:eastAsia="Times New Roman" w:hAnsi="Arial" w:cs="Arial"/>
                <w:sz w:val="20"/>
                <w:szCs w:val="20"/>
                <w:lang w:eastAsia="nl-NL"/>
              </w:rPr>
            </w:pPr>
            <w:r w:rsidRPr="00E73CE9">
              <w:rPr>
                <w:rFonts w:ascii="Arial" w:eastAsia="Times New Roman" w:hAnsi="Arial" w:cs="Arial"/>
                <w:sz w:val="20"/>
                <w:szCs w:val="20"/>
                <w:lang w:eastAsia="nl-NL"/>
              </w:rPr>
              <w:t>Ko Hartog Verkeerstechniek B.V.</w:t>
            </w:r>
          </w:p>
        </w:tc>
        <w:tc>
          <w:tcPr>
            <w:tcW w:w="466" w:type="dxa"/>
            <w:tcBorders>
              <w:top w:val="single" w:sz="12" w:space="0" w:color="FFFFFF"/>
              <w:left w:val="nil"/>
              <w:bottom w:val="single" w:sz="8" w:space="0" w:color="auto"/>
              <w:right w:val="single" w:sz="8" w:space="0" w:color="FFFFFF"/>
            </w:tcBorders>
            <w:shd w:val="clear" w:color="FFFFFF" w:fill="F2F2F2"/>
            <w:noWrap/>
            <w:vAlign w:val="bottom"/>
            <w:hideMark/>
          </w:tcPr>
          <w:p w14:paraId="532CC44E"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1%</w:t>
            </w:r>
          </w:p>
        </w:tc>
        <w:tc>
          <w:tcPr>
            <w:tcW w:w="1944" w:type="dxa"/>
            <w:tcBorders>
              <w:top w:val="single" w:sz="12" w:space="0" w:color="FFFFFF"/>
              <w:left w:val="nil"/>
              <w:bottom w:val="single" w:sz="8" w:space="0" w:color="auto"/>
              <w:right w:val="single" w:sz="8" w:space="0" w:color="FFFFFF"/>
            </w:tcBorders>
            <w:shd w:val="clear" w:color="FFFFFF" w:fill="F2F2F2"/>
            <w:noWrap/>
            <w:vAlign w:val="bottom"/>
            <w:hideMark/>
          </w:tcPr>
          <w:p w14:paraId="7773B52E" w14:textId="77777777" w:rsidR="00E73CE9" w:rsidRPr="00E73CE9" w:rsidRDefault="00E73CE9" w:rsidP="00E73CE9">
            <w:pPr>
              <w:jc w:val="right"/>
              <w:rPr>
                <w:rFonts w:eastAsia="Times New Roman" w:cs="Times New Roman"/>
                <w:color w:val="000000"/>
                <w:szCs w:val="19"/>
                <w:lang w:eastAsia="nl-NL"/>
              </w:rPr>
            </w:pPr>
            <w:r w:rsidRPr="00E73CE9">
              <w:rPr>
                <w:rFonts w:eastAsia="Times New Roman" w:cs="Times New Roman"/>
                <w:color w:val="000000"/>
                <w:szCs w:val="19"/>
                <w:lang w:eastAsia="nl-NL"/>
              </w:rPr>
              <w:t>80%</w:t>
            </w:r>
          </w:p>
        </w:tc>
      </w:tr>
    </w:tbl>
    <w:p w14:paraId="2682834D" w14:textId="77777777" w:rsidR="00E73CE9" w:rsidRDefault="00E73CE9" w:rsidP="00A5567B"/>
    <w:p w14:paraId="0CCAD6F2" w14:textId="77777777" w:rsidR="001A159A" w:rsidRDefault="001A159A" w:rsidP="00A5567B"/>
    <w:p w14:paraId="48C870BB" w14:textId="77777777" w:rsidR="001A159A" w:rsidRPr="006A2CAA" w:rsidRDefault="001A159A" w:rsidP="00A5567B"/>
    <w:p w14:paraId="112441EB" w14:textId="77777777" w:rsidR="00A5567B" w:rsidRPr="00D80F4A" w:rsidRDefault="00A5567B" w:rsidP="00A5567B">
      <w:pPr>
        <w:rPr>
          <w:b/>
          <w:bCs/>
          <w:color w:val="000000" w:themeColor="text1"/>
        </w:rPr>
      </w:pPr>
      <w:r>
        <w:rPr>
          <w:b/>
          <w:bCs/>
          <w:color w:val="000000" w:themeColor="text1"/>
        </w:rPr>
        <w:t>Disclaimer</w:t>
      </w:r>
    </w:p>
    <w:p w14:paraId="37019389" w14:textId="77777777" w:rsidR="00A5567B" w:rsidRDefault="00A5567B" w:rsidP="00F325DF">
      <w:r w:rsidRPr="003A46DE">
        <w:t xml:space="preserve">Volgens de eisen is het verplicht om alle AC-leveranciers op te nemen in de </w:t>
      </w:r>
      <w:r>
        <w:t>o</w:t>
      </w:r>
      <w:r w:rsidRPr="003A46DE">
        <w:t xml:space="preserve">rganizational </w:t>
      </w:r>
      <w:r>
        <w:t>b</w:t>
      </w:r>
      <w:r w:rsidRPr="003A46DE">
        <w:t xml:space="preserve">oundary. Echter, mits goed onderbouwd en in overleg met de </w:t>
      </w:r>
      <w:r>
        <w:t>c</w:t>
      </w:r>
      <w:r w:rsidRPr="003A46DE">
        <w:t xml:space="preserve">ertificerende </w:t>
      </w:r>
      <w:r>
        <w:t>i</w:t>
      </w:r>
      <w:r w:rsidRPr="003A46DE">
        <w:t>nstantie, kan besloten worden bepaalde AC-leveranciers niet op te nemen</w:t>
      </w:r>
      <w:r>
        <w:t xml:space="preserve">. </w:t>
      </w:r>
      <w:r w:rsidRPr="003A46DE">
        <w:t>Een aantal argumenten die dit mogelijk zouden kunnen maken zijn:</w:t>
      </w:r>
    </w:p>
    <w:p w14:paraId="5285CD54" w14:textId="77777777" w:rsidR="00A5567B" w:rsidRPr="003A46DE" w:rsidRDefault="00A5567B" w:rsidP="00A5567B">
      <w:pPr>
        <w:spacing w:line="276" w:lineRule="auto"/>
      </w:pPr>
    </w:p>
    <w:p w14:paraId="7222F232" w14:textId="77777777" w:rsidR="00A5567B" w:rsidRPr="00F82884" w:rsidRDefault="00A5567B" w:rsidP="00A5567B">
      <w:pPr>
        <w:pStyle w:val="Lijstalinea"/>
        <w:numPr>
          <w:ilvl w:val="0"/>
          <w:numId w:val="6"/>
        </w:numPr>
        <w:spacing w:line="276" w:lineRule="auto"/>
      </w:pPr>
      <w:r w:rsidRPr="00F82884">
        <w:t xml:space="preserve">De AC-leverancier is vele malen groter </w:t>
      </w:r>
      <w:r>
        <w:t xml:space="preserve">dan de organisatie </w:t>
      </w:r>
      <w:r w:rsidRPr="00F82884">
        <w:t>en levert maar een klein gedeelte van zijn omzet aa</w:t>
      </w:r>
      <w:r>
        <w:t>n de organisatie;</w:t>
      </w:r>
    </w:p>
    <w:p w14:paraId="41B24A78" w14:textId="77777777" w:rsidR="00A5567B" w:rsidRPr="00F82884" w:rsidRDefault="00A5567B" w:rsidP="00A5567B">
      <w:pPr>
        <w:pStyle w:val="Lijstalinea"/>
        <w:numPr>
          <w:ilvl w:val="0"/>
          <w:numId w:val="6"/>
        </w:numPr>
        <w:spacing w:line="276" w:lineRule="auto"/>
      </w:pPr>
      <w:r w:rsidRPr="00F82884">
        <w:t>De activiteiten van de AC-leverancier betreffen maar een klein gedeelte van de CO</w:t>
      </w:r>
      <w:r w:rsidRPr="00F82884">
        <w:rPr>
          <w:vertAlign w:val="subscript"/>
        </w:rPr>
        <w:t>2</w:t>
      </w:r>
      <w:r w:rsidRPr="00F82884">
        <w:t xml:space="preserve">-footprint </w:t>
      </w:r>
      <w:r>
        <w:t>van de organisatie.</w:t>
      </w:r>
      <w:r w:rsidRPr="00F82884">
        <w:t xml:space="preserve"> De besparingsmogelijkheden liggen bij andere activiteiten;</w:t>
      </w:r>
    </w:p>
    <w:p w14:paraId="6FDFC36B" w14:textId="77777777" w:rsidR="00A5567B" w:rsidRPr="00F82884" w:rsidRDefault="00A5567B" w:rsidP="00A5567B">
      <w:pPr>
        <w:pStyle w:val="Lijstalinea"/>
        <w:numPr>
          <w:ilvl w:val="0"/>
          <w:numId w:val="6"/>
        </w:numPr>
        <w:spacing w:line="276" w:lineRule="auto"/>
      </w:pPr>
      <w:r w:rsidRPr="00F82884">
        <w:t>Er is geen operationele invloed op de AC-leverancier.</w:t>
      </w:r>
    </w:p>
    <w:p w14:paraId="7658DA4D" w14:textId="77777777" w:rsidR="00A5567B" w:rsidRPr="002A542C" w:rsidRDefault="00A5567B" w:rsidP="00A5567B">
      <w:pPr>
        <w:rPr>
          <w:color w:val="000000" w:themeColor="text1"/>
        </w:rPr>
      </w:pPr>
    </w:p>
    <w:p w14:paraId="49BBB4AF" w14:textId="77777777" w:rsidR="00A5567B" w:rsidRPr="000259D7" w:rsidRDefault="00A5567B" w:rsidP="00A5567B">
      <w:pPr>
        <w:pStyle w:val="Kop3"/>
        <w:numPr>
          <w:ilvl w:val="0"/>
          <w:numId w:val="0"/>
        </w:numPr>
        <w:ind w:left="720" w:hanging="720"/>
      </w:pPr>
      <w:bookmarkStart w:id="141" w:name="_Toc118736258"/>
      <w:bookmarkStart w:id="142" w:name="_Toc142472151"/>
      <w:r>
        <w:t>Vaststelling van de organizational boundary</w:t>
      </w:r>
      <w:bookmarkEnd w:id="141"/>
      <w:bookmarkEnd w:id="142"/>
    </w:p>
    <w:p w14:paraId="410F6907" w14:textId="77777777" w:rsidR="00A5567B" w:rsidRDefault="00A5567B" w:rsidP="00A5567B">
      <w:r>
        <w:t>De organizational boundary zoals deze op het certificaat wordt vermeld is als volgt:</w:t>
      </w:r>
    </w:p>
    <w:p w14:paraId="073D0804" w14:textId="77777777" w:rsidR="006D4E21" w:rsidRDefault="006D4E21" w:rsidP="006D4E21">
      <w:pPr>
        <w:rPr>
          <w:color w:val="ED7D31" w:themeColor="accent2"/>
        </w:rPr>
      </w:pPr>
    </w:p>
    <w:p w14:paraId="23FD1BAF" w14:textId="77777777" w:rsidR="00195235" w:rsidRDefault="00195235" w:rsidP="00533060">
      <w:pPr>
        <w:rPr>
          <w:b/>
          <w:bCs/>
        </w:rPr>
      </w:pPr>
      <w:r w:rsidRPr="002E2D81">
        <w:rPr>
          <w:b/>
          <w:bCs/>
        </w:rPr>
        <w:t>Naam: CityTec B.V.</w:t>
      </w:r>
      <w:r>
        <w:rPr>
          <w:b/>
          <w:bCs/>
        </w:rPr>
        <w:tab/>
      </w:r>
      <w:r>
        <w:rPr>
          <w:b/>
          <w:bCs/>
        </w:rPr>
        <w:tab/>
      </w:r>
      <w:r w:rsidRPr="002E2D81">
        <w:rPr>
          <w:b/>
          <w:bCs/>
        </w:rPr>
        <w:t>Plaats: Alblasserdam</w:t>
      </w:r>
      <w:r>
        <w:rPr>
          <w:b/>
          <w:bCs/>
        </w:rPr>
        <w:tab/>
      </w:r>
      <w:r>
        <w:rPr>
          <w:b/>
          <w:bCs/>
        </w:rPr>
        <w:tab/>
      </w:r>
      <w:r w:rsidRPr="002E2D81">
        <w:rPr>
          <w:b/>
          <w:bCs/>
        </w:rPr>
        <w:t>KvK-nummer: 24274516</w:t>
      </w:r>
    </w:p>
    <w:sectPr w:rsidR="00195235" w:rsidSect="00B10E02">
      <w:headerReference w:type="default" r:id="rId36"/>
      <w:footerReference w:type="even" r:id="rId37"/>
      <w:footerReference w:type="default" r:id="rId3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1" w:author="Guus de Jong" w:date="2025-04-28T13:39:00Z" w:initials="Gd">
    <w:p w14:paraId="400556EA" w14:textId="79484011" w:rsidR="00033064" w:rsidRDefault="00033064" w:rsidP="00033064">
      <w:pPr>
        <w:pStyle w:val="Tekstopmerking"/>
        <w:jc w:val="left"/>
      </w:pPr>
      <w:r>
        <w:rPr>
          <w:rStyle w:val="Verwijzingopmerking"/>
        </w:rPr>
        <w:annotationRef/>
      </w:r>
      <w:r>
        <w:t xml:space="preserve">@mark zijn er nog projecten die in 2025 gaan starten? </w:t>
      </w:r>
    </w:p>
  </w:comment>
  <w:comment w:id="120" w:author="Job den Heeten" w:date="2025-05-21T11:37:00Z" w:initials="Jd">
    <w:p w14:paraId="6EF8E191" w14:textId="68454014" w:rsidR="007E01A3" w:rsidRDefault="007E01A3" w:rsidP="007E01A3">
      <w:pPr>
        <w:pStyle w:val="Tekstopmerking"/>
        <w:jc w:val="left"/>
      </w:pPr>
      <w:r>
        <w:rPr>
          <w:rStyle w:val="Verwijzingopmerking"/>
        </w:rPr>
        <w:annotationRef/>
      </w:r>
      <w:r>
        <w:t>Wat is de verklaring voor het lagere elektriciteitsverbruik (bijna de helft minder) in Alblasserdam?</w:t>
      </w:r>
    </w:p>
  </w:comment>
  <w:comment w:id="121" w:author="Guus de Jong" w:date="2025-06-04T12:33:00Z" w:initials="Gd">
    <w:p w14:paraId="1172906E" w14:textId="77777777" w:rsidR="00C0583B" w:rsidRDefault="00C0583B" w:rsidP="00C0583B">
      <w:pPr>
        <w:pStyle w:val="Tekstopmerking"/>
        <w:jc w:val="left"/>
      </w:pPr>
      <w:r>
        <w:rPr>
          <w:rStyle w:val="Verwijzingopmerking"/>
        </w:rPr>
        <w:annotationRef/>
      </w:r>
      <w:r>
        <w:t xml:space="preserve">@mark wil jij dit aanvullen?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556EA" w15:done="0"/>
  <w15:commentEx w15:paraId="6EF8E191" w15:done="0"/>
  <w15:commentEx w15:paraId="1172906E" w15:paraIdParent="6EF8E1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314D64" w16cex:dateUtc="2025-04-28T11:39:00Z"/>
  <w16cex:commentExtensible w16cex:durableId="52EDC915" w16cex:dateUtc="2025-05-21T09:37:00Z"/>
  <w16cex:commentExtensible w16cex:durableId="0CBDAA27" w16cex:dateUtc="2025-06-04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556EA" w16cid:durableId="22314D64"/>
  <w16cid:commentId w16cid:paraId="6EF8E191" w16cid:durableId="52EDC915"/>
  <w16cid:commentId w16cid:paraId="1172906E" w16cid:durableId="0CBDAA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6103" w14:textId="77777777" w:rsidR="00185E93" w:rsidRDefault="00185E93" w:rsidP="00C42BFC">
      <w:r>
        <w:separator/>
      </w:r>
    </w:p>
  </w:endnote>
  <w:endnote w:type="continuationSeparator" w:id="0">
    <w:p w14:paraId="2B22C9EE" w14:textId="77777777" w:rsidR="00185E93" w:rsidRDefault="00185E93" w:rsidP="00C42BFC">
      <w:r>
        <w:continuationSeparator/>
      </w:r>
    </w:p>
  </w:endnote>
  <w:endnote w:type="continuationNotice" w:id="1">
    <w:p w14:paraId="2EF48F76" w14:textId="77777777" w:rsidR="00185E93" w:rsidRDefault="00185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66803216"/>
      <w:docPartObj>
        <w:docPartGallery w:val="Page Numbers (Bottom of Page)"/>
        <w:docPartUnique/>
      </w:docPartObj>
    </w:sdtPr>
    <w:sdtEndPr>
      <w:rPr>
        <w:rStyle w:val="Paginanummer"/>
      </w:rPr>
    </w:sdtEndPr>
    <w:sdtContent>
      <w:p w14:paraId="4A3A2B81" w14:textId="77777777" w:rsidR="00EE5D88" w:rsidRDefault="00EE5D88" w:rsidP="0065303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4A3C6A9" w14:textId="77777777" w:rsidR="00EE5D88" w:rsidRDefault="00EE5D88" w:rsidP="00EE5D8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93527858"/>
      <w:docPartObj>
        <w:docPartGallery w:val="Page Numbers (Bottom of Page)"/>
        <w:docPartUnique/>
      </w:docPartObj>
    </w:sdtPr>
    <w:sdtEndPr>
      <w:rPr>
        <w:rStyle w:val="Paginanummer"/>
      </w:rPr>
    </w:sdtEndPr>
    <w:sdtContent>
      <w:p w14:paraId="18C0117B" w14:textId="77777777" w:rsidR="00EE5D88" w:rsidRDefault="00EE5D88" w:rsidP="0065303F">
        <w:pPr>
          <w:pStyle w:val="Voettekst"/>
          <w:framePr w:wrap="none" w:vAnchor="text" w:hAnchor="margin" w:xAlign="right" w:y="1"/>
          <w:rPr>
            <w:rStyle w:val="Paginanummer"/>
          </w:rPr>
        </w:pPr>
        <w:r w:rsidRPr="00EE5D88">
          <w:rPr>
            <w:rStyle w:val="Paginanummer"/>
            <w:b/>
            <w:bCs/>
            <w:color w:val="6ABE93"/>
          </w:rPr>
          <w:fldChar w:fldCharType="begin"/>
        </w:r>
        <w:r w:rsidRPr="00EE5D88">
          <w:rPr>
            <w:rStyle w:val="Paginanummer"/>
            <w:b/>
            <w:bCs/>
            <w:color w:val="6ABE93"/>
          </w:rPr>
          <w:instrText xml:space="preserve"> PAGE </w:instrText>
        </w:r>
        <w:r w:rsidRPr="00EE5D88">
          <w:rPr>
            <w:rStyle w:val="Paginanummer"/>
            <w:b/>
            <w:bCs/>
            <w:color w:val="6ABE93"/>
          </w:rPr>
          <w:fldChar w:fldCharType="separate"/>
        </w:r>
        <w:r w:rsidRPr="00EE5D88">
          <w:rPr>
            <w:rStyle w:val="Paginanummer"/>
            <w:b/>
            <w:bCs/>
            <w:noProof/>
            <w:color w:val="6ABE93"/>
          </w:rPr>
          <w:t>3</w:t>
        </w:r>
        <w:r w:rsidRPr="00EE5D88">
          <w:rPr>
            <w:rStyle w:val="Paginanummer"/>
            <w:b/>
            <w:bCs/>
            <w:color w:val="6ABE93"/>
          </w:rPr>
          <w:fldChar w:fldCharType="end"/>
        </w:r>
      </w:p>
    </w:sdtContent>
  </w:sdt>
  <w:p w14:paraId="1B6B6D0F" w14:textId="77777777" w:rsidR="00C42BFC" w:rsidRPr="000248F6" w:rsidRDefault="00EE5D88" w:rsidP="00EE5D88">
    <w:pPr>
      <w:pStyle w:val="Voettekst"/>
      <w:ind w:right="360"/>
      <w:rPr>
        <w:b/>
        <w:bCs/>
        <w:color w:val="6ABE94"/>
      </w:rPr>
    </w:pPr>
    <w:r>
      <w:tab/>
    </w:r>
    <w:r w:rsidR="000248F6" w:rsidRPr="000248F6">
      <w:rPr>
        <w:b/>
        <w:bCs/>
        <w:color w:val="6ABE94"/>
      </w:rPr>
      <w:t>CO</w:t>
    </w:r>
    <w:r w:rsidR="000248F6" w:rsidRPr="000248F6">
      <w:rPr>
        <w:b/>
        <w:bCs/>
        <w:color w:val="6ABE94"/>
        <w:vertAlign w:val="subscript"/>
      </w:rPr>
      <w:t>2</w:t>
    </w:r>
    <w:r w:rsidR="000248F6" w:rsidRPr="000248F6">
      <w:rPr>
        <w:b/>
        <w:bCs/>
        <w:color w:val="6ABE94"/>
      </w:rPr>
      <w:t xml:space="preserve">-Prestatieladder - </w:t>
    </w:r>
    <w:r w:rsidR="002B1AE1">
      <w:rPr>
        <w:b/>
        <w:bCs/>
        <w:color w:val="6ABE94"/>
      </w:rPr>
      <w:t>Verslag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A8C34" w14:textId="77777777" w:rsidR="00185E93" w:rsidRDefault="00185E93" w:rsidP="00C42BFC">
      <w:r>
        <w:separator/>
      </w:r>
    </w:p>
  </w:footnote>
  <w:footnote w:type="continuationSeparator" w:id="0">
    <w:p w14:paraId="5E95100C" w14:textId="77777777" w:rsidR="00185E93" w:rsidRDefault="00185E93" w:rsidP="00C42BFC">
      <w:r>
        <w:continuationSeparator/>
      </w:r>
    </w:p>
  </w:footnote>
  <w:footnote w:type="continuationNotice" w:id="1">
    <w:p w14:paraId="5D9380CC" w14:textId="77777777" w:rsidR="00185E93" w:rsidRDefault="00185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74B0" w14:textId="03A23188" w:rsidR="008212F3" w:rsidRDefault="001A5DC2">
    <w:pPr>
      <w:pStyle w:val="Koptekst"/>
    </w:pPr>
    <w:r>
      <w:rPr>
        <w:noProof/>
      </w:rPr>
      <w:drawing>
        <wp:anchor distT="0" distB="0" distL="114300" distR="114300" simplePos="0" relativeHeight="251658240" behindDoc="1" locked="0" layoutInCell="1" allowOverlap="1" wp14:anchorId="0052D5F9" wp14:editId="06EC0BD2">
          <wp:simplePos x="0" y="0"/>
          <wp:positionH relativeFrom="column">
            <wp:posOffset>5280660</wp:posOffset>
          </wp:positionH>
          <wp:positionV relativeFrom="paragraph">
            <wp:posOffset>-198755</wp:posOffset>
          </wp:positionV>
          <wp:extent cx="1040765" cy="448945"/>
          <wp:effectExtent l="0" t="0" r="635" b="0"/>
          <wp:wrapThrough wrapText="bothSides">
            <wp:wrapPolygon edited="0">
              <wp:start x="0" y="0"/>
              <wp:lineTo x="0" y="20775"/>
              <wp:lineTo x="21350" y="20775"/>
              <wp:lineTo x="21350" y="0"/>
              <wp:lineTo x="0" y="0"/>
            </wp:wrapPolygon>
          </wp:wrapThrough>
          <wp:docPr id="31" name="Afbeelding 31" descr="CityTec (@CityTe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Tec (@CityTec) | Twitter"/>
                  <pic:cNvPicPr>
                    <a:picLocks noChangeAspect="1" noChangeArrowheads="1"/>
                  </pic:cNvPicPr>
                </pic:nvPicPr>
                <pic:blipFill rotWithShape="1">
                  <a:blip r:embed="rId1">
                    <a:extLst>
                      <a:ext uri="{28A0092B-C50C-407E-A947-70E740481C1C}">
                        <a14:useLocalDpi xmlns:a14="http://schemas.microsoft.com/office/drawing/2010/main" val="0"/>
                      </a:ext>
                    </a:extLst>
                  </a:blip>
                  <a:srcRect t="13250" b="43600"/>
                  <a:stretch/>
                </pic:blipFill>
                <pic:spPr bwMode="auto">
                  <a:xfrm>
                    <a:off x="0" y="0"/>
                    <a:ext cx="104076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F0D"/>
    <w:multiLevelType w:val="hybridMultilevel"/>
    <w:tmpl w:val="B2446F90"/>
    <w:lvl w:ilvl="0" w:tplc="45DA472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E39D4"/>
    <w:multiLevelType w:val="hybridMultilevel"/>
    <w:tmpl w:val="455E96C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B46A09"/>
    <w:multiLevelType w:val="hybridMultilevel"/>
    <w:tmpl w:val="3EB40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A766E"/>
    <w:multiLevelType w:val="multilevel"/>
    <w:tmpl w:val="50C4F210"/>
    <w:lvl w:ilvl="0">
      <w:start w:val="1"/>
      <w:numFmt w:val="bullet"/>
      <w:lvlText w:val="●"/>
      <w:lvlJc w:val="left"/>
      <w:pPr>
        <w:ind w:left="748" w:hanging="360"/>
      </w:pPr>
      <w:rPr>
        <w:rFonts w:ascii="Noto Sans Symbols" w:eastAsia="Noto Sans Symbols" w:hAnsi="Noto Sans Symbols" w:cs="Noto Sans Symbols"/>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4" w15:restartNumberingAfterBreak="0">
    <w:nsid w:val="07B13F01"/>
    <w:multiLevelType w:val="multilevel"/>
    <w:tmpl w:val="7EE0D216"/>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BF30B74"/>
    <w:multiLevelType w:val="multilevel"/>
    <w:tmpl w:val="08EEDDB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1854"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0D5D4AD9"/>
    <w:multiLevelType w:val="hybridMultilevel"/>
    <w:tmpl w:val="9AFA1022"/>
    <w:lvl w:ilvl="0" w:tplc="8482FB7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EF1270"/>
    <w:multiLevelType w:val="hybridMultilevel"/>
    <w:tmpl w:val="1FF8DAF4"/>
    <w:lvl w:ilvl="0" w:tplc="3BBAB4D0">
      <w:start w:val="1"/>
      <w:numFmt w:val="bullet"/>
      <w:lvlText w:val=""/>
      <w:lvlJc w:val="left"/>
      <w:pPr>
        <w:ind w:left="1068" w:hanging="360"/>
      </w:pPr>
      <w:rPr>
        <w:rFonts w:ascii="Wingdings" w:hAnsi="Wingdings" w:hint="default"/>
        <w:color w:val="6ABE93"/>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052554B"/>
    <w:multiLevelType w:val="hybridMultilevel"/>
    <w:tmpl w:val="FA7C0B5A"/>
    <w:lvl w:ilvl="0" w:tplc="12C0A212">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8D1294"/>
    <w:multiLevelType w:val="hybridMultilevel"/>
    <w:tmpl w:val="09F44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C34A97"/>
    <w:multiLevelType w:val="multilevel"/>
    <w:tmpl w:val="1494F06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87E1C2B"/>
    <w:multiLevelType w:val="hybridMultilevel"/>
    <w:tmpl w:val="B5D41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BE6469"/>
    <w:multiLevelType w:val="multilevel"/>
    <w:tmpl w:val="BBEAB6B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D2C337D"/>
    <w:multiLevelType w:val="hybridMultilevel"/>
    <w:tmpl w:val="FE7202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8E2DFD"/>
    <w:multiLevelType w:val="hybridMultilevel"/>
    <w:tmpl w:val="D49CF008"/>
    <w:lvl w:ilvl="0" w:tplc="86B4218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17305E"/>
    <w:multiLevelType w:val="hybridMultilevel"/>
    <w:tmpl w:val="961C194A"/>
    <w:lvl w:ilvl="0" w:tplc="EFEE2890">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6" w15:restartNumberingAfterBreak="0">
    <w:nsid w:val="3C0A1578"/>
    <w:multiLevelType w:val="multilevel"/>
    <w:tmpl w:val="B378789C"/>
    <w:lvl w:ilvl="0">
      <w:start w:val="1"/>
      <w:numFmt w:val="bullet"/>
      <w:lvlText w:val="●"/>
      <w:lvlJc w:val="left"/>
      <w:pPr>
        <w:ind w:left="1068" w:hanging="360"/>
      </w:pPr>
      <w:rPr>
        <w:rFonts w:ascii="Noto Sans Symbols" w:eastAsia="Noto Sans Symbols" w:hAnsi="Noto Sans Symbols" w:cs="Noto Sans Symbols"/>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3C6954F6"/>
    <w:multiLevelType w:val="multilevel"/>
    <w:tmpl w:val="A1387C2A"/>
    <w:lvl w:ilvl="0">
      <w:start w:val="5"/>
      <w:numFmt w:val="decimal"/>
      <w:lvlText w:val="%1"/>
      <w:lvlJc w:val="left"/>
      <w:pPr>
        <w:ind w:left="360" w:hanging="360"/>
      </w:pPr>
      <w:rPr>
        <w:rFonts w:ascii="Verdana" w:hAnsi="Verdana"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3E2E235C"/>
    <w:multiLevelType w:val="hybridMultilevel"/>
    <w:tmpl w:val="A64E7456"/>
    <w:lvl w:ilvl="0" w:tplc="8482FB7A">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C957BA"/>
    <w:multiLevelType w:val="hybridMultilevel"/>
    <w:tmpl w:val="0A025C82"/>
    <w:lvl w:ilvl="0" w:tplc="62B0909C">
      <w:start w:val="1"/>
      <w:numFmt w:val="bullet"/>
      <w:lvlText w:val=""/>
      <w:lvlJc w:val="left"/>
      <w:pPr>
        <w:ind w:left="748" w:hanging="360"/>
      </w:pPr>
      <w:rPr>
        <w:rFonts w:ascii="Symbol" w:hAnsi="Symbol" w:hint="default"/>
        <w:color w:val="auto"/>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0" w15:restartNumberingAfterBreak="0">
    <w:nsid w:val="46C416D4"/>
    <w:multiLevelType w:val="hybridMultilevel"/>
    <w:tmpl w:val="4F9802A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011331"/>
    <w:multiLevelType w:val="multilevel"/>
    <w:tmpl w:val="CB2E17BC"/>
    <w:lvl w:ilvl="0">
      <w:start w:val="2"/>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CA801D0"/>
    <w:multiLevelType w:val="hybridMultilevel"/>
    <w:tmpl w:val="7D382BE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E74EEF"/>
    <w:multiLevelType w:val="multilevel"/>
    <w:tmpl w:val="DB306ACE"/>
    <w:lvl w:ilvl="0">
      <w:start w:val="3"/>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6DC0FFC"/>
    <w:multiLevelType w:val="hybridMultilevel"/>
    <w:tmpl w:val="6AD4C2AA"/>
    <w:lvl w:ilvl="0" w:tplc="EFEE2890">
      <w:start w:val="1"/>
      <w:numFmt w:val="bullet"/>
      <w:lvlText w:val=""/>
      <w:lvlJc w:val="left"/>
      <w:pPr>
        <w:ind w:left="1068" w:hanging="360"/>
      </w:pPr>
      <w:rPr>
        <w:rFonts w:ascii="Symbol" w:hAnsi="Symbol" w:hint="default"/>
        <w:color w:val="000000" w:themeColor="text1"/>
      </w:rPr>
    </w:lvl>
    <w:lvl w:ilvl="1" w:tplc="7B1C620C">
      <w:start w:val="1"/>
      <w:numFmt w:val="bullet"/>
      <w:lvlText w:val="o"/>
      <w:lvlJc w:val="left"/>
      <w:pPr>
        <w:ind w:left="1788" w:hanging="360"/>
      </w:pPr>
      <w:rPr>
        <w:rFonts w:ascii="Courier New" w:hAnsi="Courier New" w:cs="Courier New" w:hint="default"/>
        <w:color w:val="000000" w:themeColor="text1"/>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5C2E2B7C"/>
    <w:multiLevelType w:val="hybridMultilevel"/>
    <w:tmpl w:val="1882B6A6"/>
    <w:lvl w:ilvl="0" w:tplc="EC6A67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1E3FF9"/>
    <w:multiLevelType w:val="hybridMultilevel"/>
    <w:tmpl w:val="0918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18329D"/>
    <w:multiLevelType w:val="hybridMultilevel"/>
    <w:tmpl w:val="DE24C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805B75"/>
    <w:multiLevelType w:val="hybridMultilevel"/>
    <w:tmpl w:val="5F32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940649"/>
    <w:multiLevelType w:val="multilevel"/>
    <w:tmpl w:val="9B12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032686"/>
    <w:multiLevelType w:val="hybridMultilevel"/>
    <w:tmpl w:val="BD82D6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2552BE"/>
    <w:multiLevelType w:val="hybridMultilevel"/>
    <w:tmpl w:val="EE0E22EE"/>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D20DC4"/>
    <w:multiLevelType w:val="hybridMultilevel"/>
    <w:tmpl w:val="867238B4"/>
    <w:lvl w:ilvl="0" w:tplc="C840CFF0">
      <w:start w:val="1"/>
      <w:numFmt w:val="bullet"/>
      <w:lvlText w:val=""/>
      <w:lvlJc w:val="left"/>
      <w:pPr>
        <w:ind w:left="748" w:hanging="360"/>
      </w:pPr>
      <w:rPr>
        <w:rFonts w:ascii="Symbol" w:hAnsi="Symbol" w:hint="default"/>
        <w:color w:val="auto"/>
      </w:rPr>
    </w:lvl>
    <w:lvl w:ilvl="1" w:tplc="04090003">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3" w15:restartNumberingAfterBreak="0">
    <w:nsid w:val="692215EA"/>
    <w:multiLevelType w:val="hybridMultilevel"/>
    <w:tmpl w:val="4A30A18A"/>
    <w:lvl w:ilvl="0" w:tplc="8A26442A">
      <w:start w:val="1"/>
      <w:numFmt w:val="lowerLetter"/>
      <w:lvlText w:val="%1."/>
      <w:lvlJc w:val="left"/>
      <w:pPr>
        <w:ind w:left="2748" w:hanging="238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F46751"/>
    <w:multiLevelType w:val="hybridMultilevel"/>
    <w:tmpl w:val="09F44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1211DD"/>
    <w:multiLevelType w:val="hybridMultilevel"/>
    <w:tmpl w:val="EAA2C998"/>
    <w:lvl w:ilvl="0" w:tplc="0413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6625BF"/>
    <w:multiLevelType w:val="hybridMultilevel"/>
    <w:tmpl w:val="E376A16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BE6230"/>
    <w:multiLevelType w:val="hybridMultilevel"/>
    <w:tmpl w:val="2894FC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8F5CEC"/>
    <w:multiLevelType w:val="hybridMultilevel"/>
    <w:tmpl w:val="183C1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F02AF3"/>
    <w:multiLevelType w:val="multilevel"/>
    <w:tmpl w:val="E22422C0"/>
    <w:lvl w:ilvl="0">
      <w:start w:val="4"/>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E1D7A15"/>
    <w:multiLevelType w:val="hybridMultilevel"/>
    <w:tmpl w:val="B914D456"/>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8921092">
    <w:abstractNumId w:val="35"/>
  </w:num>
  <w:num w:numId="2" w16cid:durableId="1233807874">
    <w:abstractNumId w:val="5"/>
  </w:num>
  <w:num w:numId="3" w16cid:durableId="850607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278450">
    <w:abstractNumId w:val="37"/>
  </w:num>
  <w:num w:numId="5" w16cid:durableId="756945110">
    <w:abstractNumId w:val="18"/>
  </w:num>
  <w:num w:numId="6" w16cid:durableId="37632592">
    <w:abstractNumId w:val="7"/>
  </w:num>
  <w:num w:numId="7" w16cid:durableId="2123766678">
    <w:abstractNumId w:val="25"/>
  </w:num>
  <w:num w:numId="8" w16cid:durableId="1528522456">
    <w:abstractNumId w:val="10"/>
  </w:num>
  <w:num w:numId="9" w16cid:durableId="960190546">
    <w:abstractNumId w:val="23"/>
  </w:num>
  <w:num w:numId="10" w16cid:durableId="1196120129">
    <w:abstractNumId w:val="8"/>
  </w:num>
  <w:num w:numId="11" w16cid:durableId="778573382">
    <w:abstractNumId w:val="13"/>
  </w:num>
  <w:num w:numId="12" w16cid:durableId="606083281">
    <w:abstractNumId w:val="12"/>
  </w:num>
  <w:num w:numId="13" w16cid:durableId="2052412176">
    <w:abstractNumId w:val="24"/>
  </w:num>
  <w:num w:numId="14" w16cid:durableId="200292370">
    <w:abstractNumId w:val="17"/>
  </w:num>
  <w:num w:numId="15" w16cid:durableId="4791483">
    <w:abstractNumId w:val="19"/>
  </w:num>
  <w:num w:numId="16" w16cid:durableId="1928423241">
    <w:abstractNumId w:val="15"/>
  </w:num>
  <w:num w:numId="17" w16cid:durableId="1755742076">
    <w:abstractNumId w:val="40"/>
  </w:num>
  <w:num w:numId="18" w16cid:durableId="1309477063">
    <w:abstractNumId w:val="31"/>
  </w:num>
  <w:num w:numId="19" w16cid:durableId="188641300">
    <w:abstractNumId w:val="3"/>
  </w:num>
  <w:num w:numId="20" w16cid:durableId="1949576812">
    <w:abstractNumId w:val="11"/>
  </w:num>
  <w:num w:numId="21" w16cid:durableId="698821522">
    <w:abstractNumId w:val="14"/>
  </w:num>
  <w:num w:numId="22" w16cid:durableId="1356618541">
    <w:abstractNumId w:val="16"/>
  </w:num>
  <w:num w:numId="23" w16cid:durableId="930813496">
    <w:abstractNumId w:val="6"/>
  </w:num>
  <w:num w:numId="24" w16cid:durableId="693849964">
    <w:abstractNumId w:val="2"/>
  </w:num>
  <w:num w:numId="25" w16cid:durableId="81608804">
    <w:abstractNumId w:val="9"/>
  </w:num>
  <w:num w:numId="26" w16cid:durableId="1470825397">
    <w:abstractNumId w:val="34"/>
  </w:num>
  <w:num w:numId="27" w16cid:durableId="581648866">
    <w:abstractNumId w:val="33"/>
  </w:num>
  <w:num w:numId="28" w16cid:durableId="1957449335">
    <w:abstractNumId w:val="26"/>
  </w:num>
  <w:num w:numId="29" w16cid:durableId="2057850491">
    <w:abstractNumId w:val="21"/>
  </w:num>
  <w:num w:numId="30" w16cid:durableId="133372608">
    <w:abstractNumId w:val="4"/>
  </w:num>
  <w:num w:numId="31" w16cid:durableId="1146170486">
    <w:abstractNumId w:val="39"/>
  </w:num>
  <w:num w:numId="32" w16cid:durableId="1241791312">
    <w:abstractNumId w:val="22"/>
  </w:num>
  <w:num w:numId="33" w16cid:durableId="713314258">
    <w:abstractNumId w:val="28"/>
  </w:num>
  <w:num w:numId="34" w16cid:durableId="1460958139">
    <w:abstractNumId w:val="32"/>
  </w:num>
  <w:num w:numId="35" w16cid:durableId="558128983">
    <w:abstractNumId w:val="0"/>
  </w:num>
  <w:num w:numId="36" w16cid:durableId="1145119600">
    <w:abstractNumId w:val="30"/>
  </w:num>
  <w:num w:numId="37" w16cid:durableId="1015418567">
    <w:abstractNumId w:val="1"/>
  </w:num>
  <w:num w:numId="38" w16cid:durableId="1868172789">
    <w:abstractNumId w:val="20"/>
  </w:num>
  <w:num w:numId="39" w16cid:durableId="950018879">
    <w:abstractNumId w:val="36"/>
  </w:num>
  <w:num w:numId="40" w16cid:durableId="905840773">
    <w:abstractNumId w:val="38"/>
  </w:num>
  <w:num w:numId="41" w16cid:durableId="142505554">
    <w:abstractNumId w:val="29"/>
  </w:num>
  <w:num w:numId="42" w16cid:durableId="1598368689">
    <w:abstractNumId w:val="27"/>
  </w:num>
  <w:num w:numId="43" w16cid:durableId="466974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us de Jong">
    <w15:presenceInfo w15:providerId="AD" w15:userId="S::guus@deduurzameadviseurs.nl::8f6fcf14-b411-4f32-bd15-7639cce36816"/>
  </w15:person>
  <w15:person w15:author="Job den Heeten">
    <w15:presenceInfo w15:providerId="AD" w15:userId="S::Job@deduurzameadviseurs.nl::21c0ddde-746a-4892-be85-c944dabdae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56"/>
    <w:rsid w:val="00001EFA"/>
    <w:rsid w:val="0001005D"/>
    <w:rsid w:val="000102A2"/>
    <w:rsid w:val="00010908"/>
    <w:rsid w:val="0001093B"/>
    <w:rsid w:val="000129BE"/>
    <w:rsid w:val="00013721"/>
    <w:rsid w:val="0001397B"/>
    <w:rsid w:val="00015966"/>
    <w:rsid w:val="00015F35"/>
    <w:rsid w:val="000163DE"/>
    <w:rsid w:val="00016515"/>
    <w:rsid w:val="000169B7"/>
    <w:rsid w:val="00016B40"/>
    <w:rsid w:val="0002068A"/>
    <w:rsid w:val="00021870"/>
    <w:rsid w:val="0002327B"/>
    <w:rsid w:val="000248F6"/>
    <w:rsid w:val="00025460"/>
    <w:rsid w:val="000259D7"/>
    <w:rsid w:val="000275BA"/>
    <w:rsid w:val="00027C9D"/>
    <w:rsid w:val="000303E7"/>
    <w:rsid w:val="0003249D"/>
    <w:rsid w:val="0003255A"/>
    <w:rsid w:val="000327C1"/>
    <w:rsid w:val="00033064"/>
    <w:rsid w:val="000331D4"/>
    <w:rsid w:val="00033FBE"/>
    <w:rsid w:val="000346E5"/>
    <w:rsid w:val="000347EC"/>
    <w:rsid w:val="0003631D"/>
    <w:rsid w:val="00037A57"/>
    <w:rsid w:val="000408CF"/>
    <w:rsid w:val="00040A19"/>
    <w:rsid w:val="00041129"/>
    <w:rsid w:val="0004207D"/>
    <w:rsid w:val="00042C03"/>
    <w:rsid w:val="00045CD5"/>
    <w:rsid w:val="00047249"/>
    <w:rsid w:val="00050723"/>
    <w:rsid w:val="00050A3E"/>
    <w:rsid w:val="000521C6"/>
    <w:rsid w:val="00056BF2"/>
    <w:rsid w:val="0006031A"/>
    <w:rsid w:val="0006083D"/>
    <w:rsid w:val="00065516"/>
    <w:rsid w:val="00065E58"/>
    <w:rsid w:val="00065E81"/>
    <w:rsid w:val="0007044D"/>
    <w:rsid w:val="000707A3"/>
    <w:rsid w:val="00071539"/>
    <w:rsid w:val="00073B94"/>
    <w:rsid w:val="00074AF0"/>
    <w:rsid w:val="00075F62"/>
    <w:rsid w:val="00077810"/>
    <w:rsid w:val="000848C5"/>
    <w:rsid w:val="00085AF7"/>
    <w:rsid w:val="00086A0E"/>
    <w:rsid w:val="00086C68"/>
    <w:rsid w:val="00090143"/>
    <w:rsid w:val="00092363"/>
    <w:rsid w:val="000965B2"/>
    <w:rsid w:val="00096DE4"/>
    <w:rsid w:val="000A4580"/>
    <w:rsid w:val="000A4B31"/>
    <w:rsid w:val="000A5D4D"/>
    <w:rsid w:val="000A6F9E"/>
    <w:rsid w:val="000A7B61"/>
    <w:rsid w:val="000B15A5"/>
    <w:rsid w:val="000B1747"/>
    <w:rsid w:val="000B19E4"/>
    <w:rsid w:val="000B2DFE"/>
    <w:rsid w:val="000B32C9"/>
    <w:rsid w:val="000B3A0E"/>
    <w:rsid w:val="000B455B"/>
    <w:rsid w:val="000B64A5"/>
    <w:rsid w:val="000C0ACD"/>
    <w:rsid w:val="000C29DD"/>
    <w:rsid w:val="000C3E79"/>
    <w:rsid w:val="000D24C6"/>
    <w:rsid w:val="000D5891"/>
    <w:rsid w:val="000D59E2"/>
    <w:rsid w:val="000E2983"/>
    <w:rsid w:val="000E3402"/>
    <w:rsid w:val="000E5126"/>
    <w:rsid w:val="000F1F14"/>
    <w:rsid w:val="000F2F35"/>
    <w:rsid w:val="000F336D"/>
    <w:rsid w:val="000F45A8"/>
    <w:rsid w:val="000F493B"/>
    <w:rsid w:val="000F61A2"/>
    <w:rsid w:val="000F623E"/>
    <w:rsid w:val="00102AA4"/>
    <w:rsid w:val="001038AC"/>
    <w:rsid w:val="001044E3"/>
    <w:rsid w:val="00106460"/>
    <w:rsid w:val="00110580"/>
    <w:rsid w:val="0011213E"/>
    <w:rsid w:val="001124FC"/>
    <w:rsid w:val="00112745"/>
    <w:rsid w:val="00113E7A"/>
    <w:rsid w:val="0011424E"/>
    <w:rsid w:val="00117A24"/>
    <w:rsid w:val="00123BE8"/>
    <w:rsid w:val="001266C3"/>
    <w:rsid w:val="001277BF"/>
    <w:rsid w:val="00127BB3"/>
    <w:rsid w:val="0013157A"/>
    <w:rsid w:val="00131D54"/>
    <w:rsid w:val="001321C3"/>
    <w:rsid w:val="00134179"/>
    <w:rsid w:val="0013473A"/>
    <w:rsid w:val="00135EFA"/>
    <w:rsid w:val="00136CB5"/>
    <w:rsid w:val="001400DD"/>
    <w:rsid w:val="0014021D"/>
    <w:rsid w:val="00143FD3"/>
    <w:rsid w:val="001445E1"/>
    <w:rsid w:val="0014503E"/>
    <w:rsid w:val="00145D9B"/>
    <w:rsid w:val="00146562"/>
    <w:rsid w:val="00146B8E"/>
    <w:rsid w:val="00146D33"/>
    <w:rsid w:val="0015012D"/>
    <w:rsid w:val="0015050D"/>
    <w:rsid w:val="00150924"/>
    <w:rsid w:val="00152A36"/>
    <w:rsid w:val="00154462"/>
    <w:rsid w:val="00154CD2"/>
    <w:rsid w:val="00156956"/>
    <w:rsid w:val="00156C2B"/>
    <w:rsid w:val="00157253"/>
    <w:rsid w:val="00160557"/>
    <w:rsid w:val="00160E8A"/>
    <w:rsid w:val="00161BC7"/>
    <w:rsid w:val="00162CD9"/>
    <w:rsid w:val="00163919"/>
    <w:rsid w:val="00165841"/>
    <w:rsid w:val="00165D2A"/>
    <w:rsid w:val="00166CEA"/>
    <w:rsid w:val="00167389"/>
    <w:rsid w:val="0017297A"/>
    <w:rsid w:val="001734C4"/>
    <w:rsid w:val="00174257"/>
    <w:rsid w:val="00174332"/>
    <w:rsid w:val="001774B3"/>
    <w:rsid w:val="00185E93"/>
    <w:rsid w:val="00186E93"/>
    <w:rsid w:val="00187799"/>
    <w:rsid w:val="00190DDD"/>
    <w:rsid w:val="00192B88"/>
    <w:rsid w:val="00194381"/>
    <w:rsid w:val="001950F0"/>
    <w:rsid w:val="00195235"/>
    <w:rsid w:val="00196228"/>
    <w:rsid w:val="00196335"/>
    <w:rsid w:val="00197DE2"/>
    <w:rsid w:val="001A07A8"/>
    <w:rsid w:val="001A14E7"/>
    <w:rsid w:val="001A159A"/>
    <w:rsid w:val="001A1819"/>
    <w:rsid w:val="001A399C"/>
    <w:rsid w:val="001A3CA4"/>
    <w:rsid w:val="001A5A08"/>
    <w:rsid w:val="001A5A50"/>
    <w:rsid w:val="001A5DC2"/>
    <w:rsid w:val="001A5E5A"/>
    <w:rsid w:val="001A62AF"/>
    <w:rsid w:val="001B1461"/>
    <w:rsid w:val="001B15A0"/>
    <w:rsid w:val="001B32B8"/>
    <w:rsid w:val="001B358C"/>
    <w:rsid w:val="001B67FE"/>
    <w:rsid w:val="001B6936"/>
    <w:rsid w:val="001B6A89"/>
    <w:rsid w:val="001B6BD4"/>
    <w:rsid w:val="001B6E8A"/>
    <w:rsid w:val="001B70BD"/>
    <w:rsid w:val="001B72CD"/>
    <w:rsid w:val="001C15EB"/>
    <w:rsid w:val="001C183C"/>
    <w:rsid w:val="001C3774"/>
    <w:rsid w:val="001C443D"/>
    <w:rsid w:val="001C47AD"/>
    <w:rsid w:val="001C5C73"/>
    <w:rsid w:val="001C7712"/>
    <w:rsid w:val="001D0644"/>
    <w:rsid w:val="001D1B72"/>
    <w:rsid w:val="001D2480"/>
    <w:rsid w:val="001D3244"/>
    <w:rsid w:val="001D417C"/>
    <w:rsid w:val="001D744D"/>
    <w:rsid w:val="001D7F90"/>
    <w:rsid w:val="001E0C73"/>
    <w:rsid w:val="001E14DA"/>
    <w:rsid w:val="001E31FB"/>
    <w:rsid w:val="001E4673"/>
    <w:rsid w:val="001E4993"/>
    <w:rsid w:val="001E4A45"/>
    <w:rsid w:val="001E615A"/>
    <w:rsid w:val="001E66D1"/>
    <w:rsid w:val="001E7EB4"/>
    <w:rsid w:val="001F0416"/>
    <w:rsid w:val="001F0BD0"/>
    <w:rsid w:val="001F1FA3"/>
    <w:rsid w:val="001F4257"/>
    <w:rsid w:val="001F4D1B"/>
    <w:rsid w:val="001F5421"/>
    <w:rsid w:val="001F5604"/>
    <w:rsid w:val="001F56F1"/>
    <w:rsid w:val="001F6CC2"/>
    <w:rsid w:val="001F726B"/>
    <w:rsid w:val="001F79F0"/>
    <w:rsid w:val="0020030A"/>
    <w:rsid w:val="00200741"/>
    <w:rsid w:val="00200BEF"/>
    <w:rsid w:val="00201C22"/>
    <w:rsid w:val="00203237"/>
    <w:rsid w:val="002033A2"/>
    <w:rsid w:val="00206B10"/>
    <w:rsid w:val="0020702E"/>
    <w:rsid w:val="002119D0"/>
    <w:rsid w:val="002134DD"/>
    <w:rsid w:val="00214121"/>
    <w:rsid w:val="00214901"/>
    <w:rsid w:val="0021584A"/>
    <w:rsid w:val="002165BE"/>
    <w:rsid w:val="00217C63"/>
    <w:rsid w:val="00220745"/>
    <w:rsid w:val="00221452"/>
    <w:rsid w:val="00224712"/>
    <w:rsid w:val="002248C5"/>
    <w:rsid w:val="00224CF1"/>
    <w:rsid w:val="00224D53"/>
    <w:rsid w:val="0022505E"/>
    <w:rsid w:val="00226F13"/>
    <w:rsid w:val="0022750C"/>
    <w:rsid w:val="0022761D"/>
    <w:rsid w:val="00227D76"/>
    <w:rsid w:val="002309DE"/>
    <w:rsid w:val="00230CC2"/>
    <w:rsid w:val="0023115D"/>
    <w:rsid w:val="00234FB8"/>
    <w:rsid w:val="00236924"/>
    <w:rsid w:val="00240A84"/>
    <w:rsid w:val="0024112F"/>
    <w:rsid w:val="00241E84"/>
    <w:rsid w:val="0024597E"/>
    <w:rsid w:val="00245C56"/>
    <w:rsid w:val="00250315"/>
    <w:rsid w:val="002511A0"/>
    <w:rsid w:val="00251E51"/>
    <w:rsid w:val="00251E94"/>
    <w:rsid w:val="00252A96"/>
    <w:rsid w:val="00255997"/>
    <w:rsid w:val="00255B96"/>
    <w:rsid w:val="00256784"/>
    <w:rsid w:val="0025798F"/>
    <w:rsid w:val="00260C92"/>
    <w:rsid w:val="002624E7"/>
    <w:rsid w:val="002627ED"/>
    <w:rsid w:val="0026374A"/>
    <w:rsid w:val="00263AA4"/>
    <w:rsid w:val="00265CD6"/>
    <w:rsid w:val="00266462"/>
    <w:rsid w:val="00270688"/>
    <w:rsid w:val="0027140E"/>
    <w:rsid w:val="00272DE2"/>
    <w:rsid w:val="00274027"/>
    <w:rsid w:val="00276AD9"/>
    <w:rsid w:val="00277F56"/>
    <w:rsid w:val="0028376A"/>
    <w:rsid w:val="002863DF"/>
    <w:rsid w:val="00287F27"/>
    <w:rsid w:val="00290CD6"/>
    <w:rsid w:val="00292872"/>
    <w:rsid w:val="00293C69"/>
    <w:rsid w:val="002942EB"/>
    <w:rsid w:val="00296FCD"/>
    <w:rsid w:val="0029777B"/>
    <w:rsid w:val="002A091F"/>
    <w:rsid w:val="002A542C"/>
    <w:rsid w:val="002B1AE1"/>
    <w:rsid w:val="002B26CE"/>
    <w:rsid w:val="002B4036"/>
    <w:rsid w:val="002B5984"/>
    <w:rsid w:val="002B6CD4"/>
    <w:rsid w:val="002B7279"/>
    <w:rsid w:val="002B76E8"/>
    <w:rsid w:val="002C13CF"/>
    <w:rsid w:val="002C24A9"/>
    <w:rsid w:val="002C3DA7"/>
    <w:rsid w:val="002C478A"/>
    <w:rsid w:val="002C52BC"/>
    <w:rsid w:val="002C542C"/>
    <w:rsid w:val="002C63C3"/>
    <w:rsid w:val="002C74FD"/>
    <w:rsid w:val="002D0A04"/>
    <w:rsid w:val="002D0A26"/>
    <w:rsid w:val="002D1134"/>
    <w:rsid w:val="002D30A7"/>
    <w:rsid w:val="002D33EC"/>
    <w:rsid w:val="002D471D"/>
    <w:rsid w:val="002D4840"/>
    <w:rsid w:val="002D60ED"/>
    <w:rsid w:val="002D7550"/>
    <w:rsid w:val="002D787E"/>
    <w:rsid w:val="002D7A03"/>
    <w:rsid w:val="002E096B"/>
    <w:rsid w:val="002E300C"/>
    <w:rsid w:val="002E4938"/>
    <w:rsid w:val="002E4B49"/>
    <w:rsid w:val="002F5BC6"/>
    <w:rsid w:val="002F609B"/>
    <w:rsid w:val="00301769"/>
    <w:rsid w:val="00301F2C"/>
    <w:rsid w:val="003033BE"/>
    <w:rsid w:val="00303BDD"/>
    <w:rsid w:val="003055D2"/>
    <w:rsid w:val="003059FD"/>
    <w:rsid w:val="00306CF4"/>
    <w:rsid w:val="00307C02"/>
    <w:rsid w:val="00310CF3"/>
    <w:rsid w:val="00310ED7"/>
    <w:rsid w:val="00313424"/>
    <w:rsid w:val="00314600"/>
    <w:rsid w:val="0031515A"/>
    <w:rsid w:val="0031584D"/>
    <w:rsid w:val="00315B7D"/>
    <w:rsid w:val="00320C01"/>
    <w:rsid w:val="00320E73"/>
    <w:rsid w:val="00321ED8"/>
    <w:rsid w:val="00324326"/>
    <w:rsid w:val="00324772"/>
    <w:rsid w:val="00324965"/>
    <w:rsid w:val="003323D2"/>
    <w:rsid w:val="00332D23"/>
    <w:rsid w:val="003330CB"/>
    <w:rsid w:val="00334287"/>
    <w:rsid w:val="0034012B"/>
    <w:rsid w:val="003408E8"/>
    <w:rsid w:val="0034321F"/>
    <w:rsid w:val="0034339B"/>
    <w:rsid w:val="00344861"/>
    <w:rsid w:val="00350536"/>
    <w:rsid w:val="00350E59"/>
    <w:rsid w:val="003510B3"/>
    <w:rsid w:val="00351D3F"/>
    <w:rsid w:val="0035302C"/>
    <w:rsid w:val="00355345"/>
    <w:rsid w:val="00356512"/>
    <w:rsid w:val="003600A0"/>
    <w:rsid w:val="00360DD4"/>
    <w:rsid w:val="00361C26"/>
    <w:rsid w:val="00362559"/>
    <w:rsid w:val="00363104"/>
    <w:rsid w:val="0036384E"/>
    <w:rsid w:val="0036426E"/>
    <w:rsid w:val="00371805"/>
    <w:rsid w:val="00372958"/>
    <w:rsid w:val="00373BAA"/>
    <w:rsid w:val="003749B4"/>
    <w:rsid w:val="00375237"/>
    <w:rsid w:val="00376D7B"/>
    <w:rsid w:val="00382B74"/>
    <w:rsid w:val="00382C71"/>
    <w:rsid w:val="00382EE2"/>
    <w:rsid w:val="003837D1"/>
    <w:rsid w:val="00384B36"/>
    <w:rsid w:val="0038502A"/>
    <w:rsid w:val="00385643"/>
    <w:rsid w:val="0039335A"/>
    <w:rsid w:val="00393427"/>
    <w:rsid w:val="0039513E"/>
    <w:rsid w:val="00396453"/>
    <w:rsid w:val="00397FEF"/>
    <w:rsid w:val="003A0A2D"/>
    <w:rsid w:val="003A1BD0"/>
    <w:rsid w:val="003A52A5"/>
    <w:rsid w:val="003A597F"/>
    <w:rsid w:val="003A6423"/>
    <w:rsid w:val="003B20D9"/>
    <w:rsid w:val="003B2728"/>
    <w:rsid w:val="003B3338"/>
    <w:rsid w:val="003B345A"/>
    <w:rsid w:val="003B3C10"/>
    <w:rsid w:val="003B3C5A"/>
    <w:rsid w:val="003B4AD1"/>
    <w:rsid w:val="003B60E4"/>
    <w:rsid w:val="003B736A"/>
    <w:rsid w:val="003C02A9"/>
    <w:rsid w:val="003C05E3"/>
    <w:rsid w:val="003C0694"/>
    <w:rsid w:val="003C219E"/>
    <w:rsid w:val="003C31BE"/>
    <w:rsid w:val="003D1389"/>
    <w:rsid w:val="003D4031"/>
    <w:rsid w:val="003E14D1"/>
    <w:rsid w:val="003E2C0B"/>
    <w:rsid w:val="003E31D6"/>
    <w:rsid w:val="003E43E1"/>
    <w:rsid w:val="003E52BB"/>
    <w:rsid w:val="003E602B"/>
    <w:rsid w:val="003E6E84"/>
    <w:rsid w:val="003F1594"/>
    <w:rsid w:val="003F1FC4"/>
    <w:rsid w:val="003F2F22"/>
    <w:rsid w:val="003F3C6F"/>
    <w:rsid w:val="003F4B28"/>
    <w:rsid w:val="003F67AD"/>
    <w:rsid w:val="00400671"/>
    <w:rsid w:val="004008A6"/>
    <w:rsid w:val="00401E34"/>
    <w:rsid w:val="00401E66"/>
    <w:rsid w:val="0040405B"/>
    <w:rsid w:val="00404AB4"/>
    <w:rsid w:val="00405A16"/>
    <w:rsid w:val="004061F7"/>
    <w:rsid w:val="004064D9"/>
    <w:rsid w:val="004108A3"/>
    <w:rsid w:val="004135CA"/>
    <w:rsid w:val="00413E06"/>
    <w:rsid w:val="00414352"/>
    <w:rsid w:val="00414842"/>
    <w:rsid w:val="0041712F"/>
    <w:rsid w:val="004213F7"/>
    <w:rsid w:val="00421BEB"/>
    <w:rsid w:val="00424F91"/>
    <w:rsid w:val="00426275"/>
    <w:rsid w:val="004277C5"/>
    <w:rsid w:val="00427E08"/>
    <w:rsid w:val="004302F4"/>
    <w:rsid w:val="004307DC"/>
    <w:rsid w:val="004314AD"/>
    <w:rsid w:val="00432B00"/>
    <w:rsid w:val="00435FD3"/>
    <w:rsid w:val="00436B07"/>
    <w:rsid w:val="00437B1A"/>
    <w:rsid w:val="0044080D"/>
    <w:rsid w:val="00440AB3"/>
    <w:rsid w:val="0044232D"/>
    <w:rsid w:val="004435E4"/>
    <w:rsid w:val="00443AEC"/>
    <w:rsid w:val="00450E45"/>
    <w:rsid w:val="00451E30"/>
    <w:rsid w:val="00452210"/>
    <w:rsid w:val="00452503"/>
    <w:rsid w:val="00452A4A"/>
    <w:rsid w:val="00453D66"/>
    <w:rsid w:val="0046089C"/>
    <w:rsid w:val="004610B4"/>
    <w:rsid w:val="00462757"/>
    <w:rsid w:val="00463106"/>
    <w:rsid w:val="00464C69"/>
    <w:rsid w:val="00465090"/>
    <w:rsid w:val="00466248"/>
    <w:rsid w:val="004673EB"/>
    <w:rsid w:val="00467E35"/>
    <w:rsid w:val="00470091"/>
    <w:rsid w:val="00470D22"/>
    <w:rsid w:val="00471602"/>
    <w:rsid w:val="004734BD"/>
    <w:rsid w:val="00473711"/>
    <w:rsid w:val="00473740"/>
    <w:rsid w:val="00473B3F"/>
    <w:rsid w:val="004745D4"/>
    <w:rsid w:val="00474E17"/>
    <w:rsid w:val="00476523"/>
    <w:rsid w:val="0047751A"/>
    <w:rsid w:val="00477BCD"/>
    <w:rsid w:val="00481457"/>
    <w:rsid w:val="00481481"/>
    <w:rsid w:val="0048319B"/>
    <w:rsid w:val="00483AA2"/>
    <w:rsid w:val="00483E1C"/>
    <w:rsid w:val="00484472"/>
    <w:rsid w:val="00484DE7"/>
    <w:rsid w:val="004850C4"/>
    <w:rsid w:val="00485522"/>
    <w:rsid w:val="004937F1"/>
    <w:rsid w:val="004946A8"/>
    <w:rsid w:val="00496FC6"/>
    <w:rsid w:val="004979B4"/>
    <w:rsid w:val="004A06D4"/>
    <w:rsid w:val="004A22D2"/>
    <w:rsid w:val="004A675A"/>
    <w:rsid w:val="004A6A1F"/>
    <w:rsid w:val="004A7239"/>
    <w:rsid w:val="004B2457"/>
    <w:rsid w:val="004C14E1"/>
    <w:rsid w:val="004C1D0A"/>
    <w:rsid w:val="004C338E"/>
    <w:rsid w:val="004C46B7"/>
    <w:rsid w:val="004C6830"/>
    <w:rsid w:val="004C76C1"/>
    <w:rsid w:val="004C7F86"/>
    <w:rsid w:val="004D13B1"/>
    <w:rsid w:val="004D151A"/>
    <w:rsid w:val="004D1809"/>
    <w:rsid w:val="004D186F"/>
    <w:rsid w:val="004D2B86"/>
    <w:rsid w:val="004D3EC5"/>
    <w:rsid w:val="004D4D91"/>
    <w:rsid w:val="004D5C90"/>
    <w:rsid w:val="004D79D7"/>
    <w:rsid w:val="004D7A80"/>
    <w:rsid w:val="004E3947"/>
    <w:rsid w:val="004E42C5"/>
    <w:rsid w:val="004E48E6"/>
    <w:rsid w:val="004E646E"/>
    <w:rsid w:val="004F0A2F"/>
    <w:rsid w:val="004F2061"/>
    <w:rsid w:val="004F3F57"/>
    <w:rsid w:val="004F3FD4"/>
    <w:rsid w:val="004F47C2"/>
    <w:rsid w:val="004F5314"/>
    <w:rsid w:val="004F552F"/>
    <w:rsid w:val="004F7799"/>
    <w:rsid w:val="00500E95"/>
    <w:rsid w:val="0050291D"/>
    <w:rsid w:val="00503F9B"/>
    <w:rsid w:val="00506760"/>
    <w:rsid w:val="005068EC"/>
    <w:rsid w:val="00506A00"/>
    <w:rsid w:val="00507003"/>
    <w:rsid w:val="0051215E"/>
    <w:rsid w:val="00512C27"/>
    <w:rsid w:val="00515730"/>
    <w:rsid w:val="00517678"/>
    <w:rsid w:val="005176B4"/>
    <w:rsid w:val="00517F33"/>
    <w:rsid w:val="00520236"/>
    <w:rsid w:val="005207D5"/>
    <w:rsid w:val="0052195E"/>
    <w:rsid w:val="00521D3B"/>
    <w:rsid w:val="00522956"/>
    <w:rsid w:val="00522EC1"/>
    <w:rsid w:val="005232B7"/>
    <w:rsid w:val="00523F74"/>
    <w:rsid w:val="005242EB"/>
    <w:rsid w:val="00524B60"/>
    <w:rsid w:val="00525417"/>
    <w:rsid w:val="00527940"/>
    <w:rsid w:val="005306DF"/>
    <w:rsid w:val="00533060"/>
    <w:rsid w:val="00537C68"/>
    <w:rsid w:val="00537D2E"/>
    <w:rsid w:val="005401DA"/>
    <w:rsid w:val="00540435"/>
    <w:rsid w:val="00542B27"/>
    <w:rsid w:val="00542D18"/>
    <w:rsid w:val="0054397A"/>
    <w:rsid w:val="00545D4A"/>
    <w:rsid w:val="00547385"/>
    <w:rsid w:val="00551DCE"/>
    <w:rsid w:val="00552030"/>
    <w:rsid w:val="00553090"/>
    <w:rsid w:val="00553490"/>
    <w:rsid w:val="00553C85"/>
    <w:rsid w:val="0055767A"/>
    <w:rsid w:val="00560CF5"/>
    <w:rsid w:val="00561870"/>
    <w:rsid w:val="00562904"/>
    <w:rsid w:val="00563B0D"/>
    <w:rsid w:val="005640DA"/>
    <w:rsid w:val="005655CE"/>
    <w:rsid w:val="00571A7E"/>
    <w:rsid w:val="00573E96"/>
    <w:rsid w:val="00573F4D"/>
    <w:rsid w:val="00575B85"/>
    <w:rsid w:val="00577BAE"/>
    <w:rsid w:val="00583631"/>
    <w:rsid w:val="0058518D"/>
    <w:rsid w:val="005851B9"/>
    <w:rsid w:val="00585AC0"/>
    <w:rsid w:val="005878EF"/>
    <w:rsid w:val="00587A4B"/>
    <w:rsid w:val="0059379E"/>
    <w:rsid w:val="005938DB"/>
    <w:rsid w:val="00593CB2"/>
    <w:rsid w:val="00594288"/>
    <w:rsid w:val="005942A4"/>
    <w:rsid w:val="005942F9"/>
    <w:rsid w:val="00594F1B"/>
    <w:rsid w:val="00595113"/>
    <w:rsid w:val="0059534E"/>
    <w:rsid w:val="00596512"/>
    <w:rsid w:val="005967C0"/>
    <w:rsid w:val="00597054"/>
    <w:rsid w:val="005978BB"/>
    <w:rsid w:val="005A037A"/>
    <w:rsid w:val="005A0EDF"/>
    <w:rsid w:val="005A327C"/>
    <w:rsid w:val="005A3A9F"/>
    <w:rsid w:val="005A42E6"/>
    <w:rsid w:val="005A4471"/>
    <w:rsid w:val="005A6293"/>
    <w:rsid w:val="005A633C"/>
    <w:rsid w:val="005A66AA"/>
    <w:rsid w:val="005A7420"/>
    <w:rsid w:val="005A745B"/>
    <w:rsid w:val="005A7B7D"/>
    <w:rsid w:val="005A7F0A"/>
    <w:rsid w:val="005B00E1"/>
    <w:rsid w:val="005B03A8"/>
    <w:rsid w:val="005B0C96"/>
    <w:rsid w:val="005B1065"/>
    <w:rsid w:val="005B1256"/>
    <w:rsid w:val="005B2F58"/>
    <w:rsid w:val="005B4871"/>
    <w:rsid w:val="005B5A5A"/>
    <w:rsid w:val="005C4317"/>
    <w:rsid w:val="005C5598"/>
    <w:rsid w:val="005C55B1"/>
    <w:rsid w:val="005C5A7B"/>
    <w:rsid w:val="005C6097"/>
    <w:rsid w:val="005C7B90"/>
    <w:rsid w:val="005D1779"/>
    <w:rsid w:val="005D2084"/>
    <w:rsid w:val="005D39F5"/>
    <w:rsid w:val="005D4951"/>
    <w:rsid w:val="005E1504"/>
    <w:rsid w:val="005E1ED4"/>
    <w:rsid w:val="005E2523"/>
    <w:rsid w:val="005E353C"/>
    <w:rsid w:val="005E5DB7"/>
    <w:rsid w:val="005E67E4"/>
    <w:rsid w:val="005E7099"/>
    <w:rsid w:val="005F1518"/>
    <w:rsid w:val="005F15E1"/>
    <w:rsid w:val="005F2015"/>
    <w:rsid w:val="005F2FA4"/>
    <w:rsid w:val="005F5091"/>
    <w:rsid w:val="005F5909"/>
    <w:rsid w:val="005F6114"/>
    <w:rsid w:val="005F6376"/>
    <w:rsid w:val="005F7DD6"/>
    <w:rsid w:val="0060032A"/>
    <w:rsid w:val="00600529"/>
    <w:rsid w:val="00600FFB"/>
    <w:rsid w:val="00601DA1"/>
    <w:rsid w:val="006021E6"/>
    <w:rsid w:val="00603095"/>
    <w:rsid w:val="006031D0"/>
    <w:rsid w:val="00603724"/>
    <w:rsid w:val="00604F37"/>
    <w:rsid w:val="00610048"/>
    <w:rsid w:val="00612DF7"/>
    <w:rsid w:val="00617FD4"/>
    <w:rsid w:val="0062298A"/>
    <w:rsid w:val="0062402B"/>
    <w:rsid w:val="00624108"/>
    <w:rsid w:val="0062461C"/>
    <w:rsid w:val="00625294"/>
    <w:rsid w:val="006252EE"/>
    <w:rsid w:val="0062572B"/>
    <w:rsid w:val="006258BD"/>
    <w:rsid w:val="00627561"/>
    <w:rsid w:val="00627AC4"/>
    <w:rsid w:val="00627E05"/>
    <w:rsid w:val="006316DA"/>
    <w:rsid w:val="00631724"/>
    <w:rsid w:val="006322C9"/>
    <w:rsid w:val="00632B47"/>
    <w:rsid w:val="00636ACF"/>
    <w:rsid w:val="00637000"/>
    <w:rsid w:val="00637AAB"/>
    <w:rsid w:val="006419DB"/>
    <w:rsid w:val="00641D36"/>
    <w:rsid w:val="006458EA"/>
    <w:rsid w:val="006476FE"/>
    <w:rsid w:val="006513ED"/>
    <w:rsid w:val="00651DFD"/>
    <w:rsid w:val="0065303F"/>
    <w:rsid w:val="0065585A"/>
    <w:rsid w:val="00656CC8"/>
    <w:rsid w:val="00656E10"/>
    <w:rsid w:val="00657E6B"/>
    <w:rsid w:val="006601DF"/>
    <w:rsid w:val="00660825"/>
    <w:rsid w:val="00661031"/>
    <w:rsid w:val="0066174C"/>
    <w:rsid w:val="00661F04"/>
    <w:rsid w:val="00662249"/>
    <w:rsid w:val="00663441"/>
    <w:rsid w:val="0066415E"/>
    <w:rsid w:val="006665C1"/>
    <w:rsid w:val="00671274"/>
    <w:rsid w:val="006725A5"/>
    <w:rsid w:val="0067295E"/>
    <w:rsid w:val="00674CB1"/>
    <w:rsid w:val="00677226"/>
    <w:rsid w:val="00677861"/>
    <w:rsid w:val="00680593"/>
    <w:rsid w:val="00681D6B"/>
    <w:rsid w:val="00682A85"/>
    <w:rsid w:val="00684915"/>
    <w:rsid w:val="00687316"/>
    <w:rsid w:val="00687C2C"/>
    <w:rsid w:val="006918BD"/>
    <w:rsid w:val="00694219"/>
    <w:rsid w:val="00695542"/>
    <w:rsid w:val="00697A6F"/>
    <w:rsid w:val="00697BA0"/>
    <w:rsid w:val="006A2214"/>
    <w:rsid w:val="006A2AF3"/>
    <w:rsid w:val="006A2CAA"/>
    <w:rsid w:val="006A2EFD"/>
    <w:rsid w:val="006A46F9"/>
    <w:rsid w:val="006A73BC"/>
    <w:rsid w:val="006A7D62"/>
    <w:rsid w:val="006B24FC"/>
    <w:rsid w:val="006B5291"/>
    <w:rsid w:val="006B53A0"/>
    <w:rsid w:val="006B69BF"/>
    <w:rsid w:val="006C192C"/>
    <w:rsid w:val="006C2E3E"/>
    <w:rsid w:val="006C2EBD"/>
    <w:rsid w:val="006D03C5"/>
    <w:rsid w:val="006D2B59"/>
    <w:rsid w:val="006D4E21"/>
    <w:rsid w:val="006D518F"/>
    <w:rsid w:val="006D52C5"/>
    <w:rsid w:val="006E0A67"/>
    <w:rsid w:val="006E1F63"/>
    <w:rsid w:val="006E20C6"/>
    <w:rsid w:val="006E3301"/>
    <w:rsid w:val="006E3305"/>
    <w:rsid w:val="006E3B4E"/>
    <w:rsid w:val="006E4FC1"/>
    <w:rsid w:val="006E62BA"/>
    <w:rsid w:val="006E6FBE"/>
    <w:rsid w:val="006F0209"/>
    <w:rsid w:val="006F0B87"/>
    <w:rsid w:val="006F0F9F"/>
    <w:rsid w:val="006F19CB"/>
    <w:rsid w:val="006F325B"/>
    <w:rsid w:val="006F3717"/>
    <w:rsid w:val="007003D7"/>
    <w:rsid w:val="00700616"/>
    <w:rsid w:val="00700984"/>
    <w:rsid w:val="00701466"/>
    <w:rsid w:val="00701F16"/>
    <w:rsid w:val="00702104"/>
    <w:rsid w:val="00703AC1"/>
    <w:rsid w:val="007042F9"/>
    <w:rsid w:val="00704E75"/>
    <w:rsid w:val="00706972"/>
    <w:rsid w:val="00706B2C"/>
    <w:rsid w:val="00707747"/>
    <w:rsid w:val="007104C9"/>
    <w:rsid w:val="007117A6"/>
    <w:rsid w:val="00713251"/>
    <w:rsid w:val="00714C18"/>
    <w:rsid w:val="00715FB8"/>
    <w:rsid w:val="0071638D"/>
    <w:rsid w:val="007171B6"/>
    <w:rsid w:val="00721728"/>
    <w:rsid w:val="00722238"/>
    <w:rsid w:val="00723FC9"/>
    <w:rsid w:val="00724CF5"/>
    <w:rsid w:val="0072513B"/>
    <w:rsid w:val="007253D2"/>
    <w:rsid w:val="00725A55"/>
    <w:rsid w:val="00726B5D"/>
    <w:rsid w:val="00726CED"/>
    <w:rsid w:val="007313E8"/>
    <w:rsid w:val="00732658"/>
    <w:rsid w:val="007328E7"/>
    <w:rsid w:val="007330DB"/>
    <w:rsid w:val="00733E37"/>
    <w:rsid w:val="00734810"/>
    <w:rsid w:val="007348FC"/>
    <w:rsid w:val="00734AA3"/>
    <w:rsid w:val="00734DAB"/>
    <w:rsid w:val="00735050"/>
    <w:rsid w:val="00741635"/>
    <w:rsid w:val="007458C8"/>
    <w:rsid w:val="007463F5"/>
    <w:rsid w:val="00746AA9"/>
    <w:rsid w:val="00746EE4"/>
    <w:rsid w:val="00751BEE"/>
    <w:rsid w:val="007524A3"/>
    <w:rsid w:val="00755383"/>
    <w:rsid w:val="00761CF3"/>
    <w:rsid w:val="00761E4A"/>
    <w:rsid w:val="00762C22"/>
    <w:rsid w:val="0076523D"/>
    <w:rsid w:val="007675BC"/>
    <w:rsid w:val="0076783D"/>
    <w:rsid w:val="00771949"/>
    <w:rsid w:val="00772E2B"/>
    <w:rsid w:val="007731FC"/>
    <w:rsid w:val="00774A4B"/>
    <w:rsid w:val="0077747B"/>
    <w:rsid w:val="00777E37"/>
    <w:rsid w:val="00780940"/>
    <w:rsid w:val="0078109B"/>
    <w:rsid w:val="00784D55"/>
    <w:rsid w:val="00786167"/>
    <w:rsid w:val="00787912"/>
    <w:rsid w:val="00792325"/>
    <w:rsid w:val="00796D3D"/>
    <w:rsid w:val="00797363"/>
    <w:rsid w:val="0079757A"/>
    <w:rsid w:val="007A0951"/>
    <w:rsid w:val="007A0A6E"/>
    <w:rsid w:val="007A234B"/>
    <w:rsid w:val="007A3D17"/>
    <w:rsid w:val="007A6B0F"/>
    <w:rsid w:val="007B1703"/>
    <w:rsid w:val="007B4D10"/>
    <w:rsid w:val="007B51E6"/>
    <w:rsid w:val="007B6471"/>
    <w:rsid w:val="007B659B"/>
    <w:rsid w:val="007B671A"/>
    <w:rsid w:val="007C0AE4"/>
    <w:rsid w:val="007C1288"/>
    <w:rsid w:val="007C30CA"/>
    <w:rsid w:val="007C524E"/>
    <w:rsid w:val="007C673B"/>
    <w:rsid w:val="007C6D77"/>
    <w:rsid w:val="007C750E"/>
    <w:rsid w:val="007C75F7"/>
    <w:rsid w:val="007D0FC4"/>
    <w:rsid w:val="007D29B6"/>
    <w:rsid w:val="007D2A03"/>
    <w:rsid w:val="007D3391"/>
    <w:rsid w:val="007D414E"/>
    <w:rsid w:val="007D45F9"/>
    <w:rsid w:val="007D4BBB"/>
    <w:rsid w:val="007D59B2"/>
    <w:rsid w:val="007D620C"/>
    <w:rsid w:val="007D68F8"/>
    <w:rsid w:val="007D76F0"/>
    <w:rsid w:val="007E01A3"/>
    <w:rsid w:val="007E2F2E"/>
    <w:rsid w:val="007E327B"/>
    <w:rsid w:val="007E6636"/>
    <w:rsid w:val="007E6EB5"/>
    <w:rsid w:val="007E799D"/>
    <w:rsid w:val="007E7FA9"/>
    <w:rsid w:val="007F1905"/>
    <w:rsid w:val="007F2B7F"/>
    <w:rsid w:val="007F7CAD"/>
    <w:rsid w:val="008008E2"/>
    <w:rsid w:val="00805222"/>
    <w:rsid w:val="00805277"/>
    <w:rsid w:val="008064E3"/>
    <w:rsid w:val="00806870"/>
    <w:rsid w:val="008072B4"/>
    <w:rsid w:val="00811106"/>
    <w:rsid w:val="00811265"/>
    <w:rsid w:val="00814D05"/>
    <w:rsid w:val="00815CE2"/>
    <w:rsid w:val="008170D1"/>
    <w:rsid w:val="008178C1"/>
    <w:rsid w:val="00820CC3"/>
    <w:rsid w:val="008212F3"/>
    <w:rsid w:val="00821778"/>
    <w:rsid w:val="0082239F"/>
    <w:rsid w:val="0082248D"/>
    <w:rsid w:val="00823852"/>
    <w:rsid w:val="0082726F"/>
    <w:rsid w:val="00832016"/>
    <w:rsid w:val="00832403"/>
    <w:rsid w:val="00832AAA"/>
    <w:rsid w:val="00833576"/>
    <w:rsid w:val="00833B63"/>
    <w:rsid w:val="0084093F"/>
    <w:rsid w:val="00842EE9"/>
    <w:rsid w:val="008478C6"/>
    <w:rsid w:val="00850234"/>
    <w:rsid w:val="00850BA5"/>
    <w:rsid w:val="00851498"/>
    <w:rsid w:val="008517D1"/>
    <w:rsid w:val="00853BD3"/>
    <w:rsid w:val="008571B3"/>
    <w:rsid w:val="008631AF"/>
    <w:rsid w:val="00865D62"/>
    <w:rsid w:val="00867806"/>
    <w:rsid w:val="008679B0"/>
    <w:rsid w:val="00870C09"/>
    <w:rsid w:val="00871710"/>
    <w:rsid w:val="00871E07"/>
    <w:rsid w:val="00875160"/>
    <w:rsid w:val="00875953"/>
    <w:rsid w:val="00876FC0"/>
    <w:rsid w:val="008810CC"/>
    <w:rsid w:val="008842AE"/>
    <w:rsid w:val="00885421"/>
    <w:rsid w:val="00885814"/>
    <w:rsid w:val="00887101"/>
    <w:rsid w:val="00890281"/>
    <w:rsid w:val="00891285"/>
    <w:rsid w:val="00891D63"/>
    <w:rsid w:val="00893FCB"/>
    <w:rsid w:val="00894D16"/>
    <w:rsid w:val="00895AF2"/>
    <w:rsid w:val="008963B1"/>
    <w:rsid w:val="008A0227"/>
    <w:rsid w:val="008A2942"/>
    <w:rsid w:val="008A3417"/>
    <w:rsid w:val="008A5E5A"/>
    <w:rsid w:val="008B67A2"/>
    <w:rsid w:val="008C24AD"/>
    <w:rsid w:val="008C281E"/>
    <w:rsid w:val="008C3E6A"/>
    <w:rsid w:val="008C5570"/>
    <w:rsid w:val="008D1925"/>
    <w:rsid w:val="008D1B1D"/>
    <w:rsid w:val="008D4E12"/>
    <w:rsid w:val="008D4ECE"/>
    <w:rsid w:val="008D5633"/>
    <w:rsid w:val="008D56EF"/>
    <w:rsid w:val="008D679C"/>
    <w:rsid w:val="008D687D"/>
    <w:rsid w:val="008D6DF8"/>
    <w:rsid w:val="008D74A2"/>
    <w:rsid w:val="008E0251"/>
    <w:rsid w:val="008E228E"/>
    <w:rsid w:val="008E321A"/>
    <w:rsid w:val="008E38D0"/>
    <w:rsid w:val="008E51A2"/>
    <w:rsid w:val="008E5434"/>
    <w:rsid w:val="008E7BC0"/>
    <w:rsid w:val="008F26A4"/>
    <w:rsid w:val="008F2C96"/>
    <w:rsid w:val="008F4FC5"/>
    <w:rsid w:val="008F5FF4"/>
    <w:rsid w:val="008F729A"/>
    <w:rsid w:val="00900B9F"/>
    <w:rsid w:val="00902553"/>
    <w:rsid w:val="00903636"/>
    <w:rsid w:val="00903FE7"/>
    <w:rsid w:val="009043B6"/>
    <w:rsid w:val="0090595B"/>
    <w:rsid w:val="00906FCB"/>
    <w:rsid w:val="00914B3D"/>
    <w:rsid w:val="00916AAD"/>
    <w:rsid w:val="009203D4"/>
    <w:rsid w:val="0092192D"/>
    <w:rsid w:val="00923430"/>
    <w:rsid w:val="0092372E"/>
    <w:rsid w:val="009261CE"/>
    <w:rsid w:val="00927D25"/>
    <w:rsid w:val="0093031C"/>
    <w:rsid w:val="00930EA7"/>
    <w:rsid w:val="00932D1E"/>
    <w:rsid w:val="00934B9B"/>
    <w:rsid w:val="00936FDA"/>
    <w:rsid w:val="009377BC"/>
    <w:rsid w:val="00937C29"/>
    <w:rsid w:val="00937D8D"/>
    <w:rsid w:val="00940DCF"/>
    <w:rsid w:val="0094110C"/>
    <w:rsid w:val="00942D10"/>
    <w:rsid w:val="00943798"/>
    <w:rsid w:val="009440AE"/>
    <w:rsid w:val="00944661"/>
    <w:rsid w:val="00945C87"/>
    <w:rsid w:val="0094631C"/>
    <w:rsid w:val="00950DDD"/>
    <w:rsid w:val="00951AA0"/>
    <w:rsid w:val="00953298"/>
    <w:rsid w:val="00953486"/>
    <w:rsid w:val="0095457D"/>
    <w:rsid w:val="009558F7"/>
    <w:rsid w:val="00956041"/>
    <w:rsid w:val="009562AA"/>
    <w:rsid w:val="00957E17"/>
    <w:rsid w:val="0096073F"/>
    <w:rsid w:val="00960E49"/>
    <w:rsid w:val="00961643"/>
    <w:rsid w:val="00961B4E"/>
    <w:rsid w:val="00963D8E"/>
    <w:rsid w:val="009645B1"/>
    <w:rsid w:val="009662FF"/>
    <w:rsid w:val="00971596"/>
    <w:rsid w:val="009729D6"/>
    <w:rsid w:val="009745F8"/>
    <w:rsid w:val="009753DE"/>
    <w:rsid w:val="0098060D"/>
    <w:rsid w:val="00980DE8"/>
    <w:rsid w:val="00981444"/>
    <w:rsid w:val="0098248C"/>
    <w:rsid w:val="00982546"/>
    <w:rsid w:val="00982C07"/>
    <w:rsid w:val="00983285"/>
    <w:rsid w:val="00985089"/>
    <w:rsid w:val="009869EB"/>
    <w:rsid w:val="00990CA2"/>
    <w:rsid w:val="00993677"/>
    <w:rsid w:val="009937C8"/>
    <w:rsid w:val="0099392F"/>
    <w:rsid w:val="00994623"/>
    <w:rsid w:val="009962B9"/>
    <w:rsid w:val="0099760E"/>
    <w:rsid w:val="009A02BA"/>
    <w:rsid w:val="009A0B73"/>
    <w:rsid w:val="009A24CB"/>
    <w:rsid w:val="009A4A26"/>
    <w:rsid w:val="009A4C0A"/>
    <w:rsid w:val="009A7B46"/>
    <w:rsid w:val="009B2DAE"/>
    <w:rsid w:val="009B4E7B"/>
    <w:rsid w:val="009B5521"/>
    <w:rsid w:val="009B7112"/>
    <w:rsid w:val="009B7EBE"/>
    <w:rsid w:val="009C15BE"/>
    <w:rsid w:val="009C1EB5"/>
    <w:rsid w:val="009C3745"/>
    <w:rsid w:val="009C4E92"/>
    <w:rsid w:val="009C63E4"/>
    <w:rsid w:val="009C6508"/>
    <w:rsid w:val="009C69EC"/>
    <w:rsid w:val="009C6AE4"/>
    <w:rsid w:val="009C75D5"/>
    <w:rsid w:val="009D021B"/>
    <w:rsid w:val="009D0D63"/>
    <w:rsid w:val="009D1BAC"/>
    <w:rsid w:val="009D2747"/>
    <w:rsid w:val="009D407A"/>
    <w:rsid w:val="009D4A0E"/>
    <w:rsid w:val="009D4AF7"/>
    <w:rsid w:val="009E0C15"/>
    <w:rsid w:val="009E2767"/>
    <w:rsid w:val="009E5008"/>
    <w:rsid w:val="009E6AA7"/>
    <w:rsid w:val="009E722B"/>
    <w:rsid w:val="009F0419"/>
    <w:rsid w:val="009F0428"/>
    <w:rsid w:val="009F0F8B"/>
    <w:rsid w:val="009F2433"/>
    <w:rsid w:val="009F3CB1"/>
    <w:rsid w:val="009F4448"/>
    <w:rsid w:val="009F44A8"/>
    <w:rsid w:val="009F4B0B"/>
    <w:rsid w:val="009F62D3"/>
    <w:rsid w:val="009F64DF"/>
    <w:rsid w:val="009F6C60"/>
    <w:rsid w:val="009F6EF0"/>
    <w:rsid w:val="009F7B1B"/>
    <w:rsid w:val="00A00881"/>
    <w:rsid w:val="00A01B77"/>
    <w:rsid w:val="00A0270F"/>
    <w:rsid w:val="00A03454"/>
    <w:rsid w:val="00A05A77"/>
    <w:rsid w:val="00A064A0"/>
    <w:rsid w:val="00A11CB5"/>
    <w:rsid w:val="00A12A26"/>
    <w:rsid w:val="00A12A78"/>
    <w:rsid w:val="00A14DAA"/>
    <w:rsid w:val="00A15C10"/>
    <w:rsid w:val="00A20A32"/>
    <w:rsid w:val="00A2129E"/>
    <w:rsid w:val="00A2172B"/>
    <w:rsid w:val="00A21E9F"/>
    <w:rsid w:val="00A249EF"/>
    <w:rsid w:val="00A2796D"/>
    <w:rsid w:val="00A316EF"/>
    <w:rsid w:val="00A34005"/>
    <w:rsid w:val="00A343FE"/>
    <w:rsid w:val="00A36255"/>
    <w:rsid w:val="00A3724A"/>
    <w:rsid w:val="00A3775A"/>
    <w:rsid w:val="00A41896"/>
    <w:rsid w:val="00A41D91"/>
    <w:rsid w:val="00A41E0F"/>
    <w:rsid w:val="00A45B03"/>
    <w:rsid w:val="00A45CFE"/>
    <w:rsid w:val="00A50498"/>
    <w:rsid w:val="00A506B8"/>
    <w:rsid w:val="00A51347"/>
    <w:rsid w:val="00A53074"/>
    <w:rsid w:val="00A53511"/>
    <w:rsid w:val="00A54C74"/>
    <w:rsid w:val="00A5567B"/>
    <w:rsid w:val="00A57D24"/>
    <w:rsid w:val="00A618C6"/>
    <w:rsid w:val="00A61A1C"/>
    <w:rsid w:val="00A62A62"/>
    <w:rsid w:val="00A62B07"/>
    <w:rsid w:val="00A6437F"/>
    <w:rsid w:val="00A6491B"/>
    <w:rsid w:val="00A6515E"/>
    <w:rsid w:val="00A70CCF"/>
    <w:rsid w:val="00A713EC"/>
    <w:rsid w:val="00A715E7"/>
    <w:rsid w:val="00A71728"/>
    <w:rsid w:val="00A732D0"/>
    <w:rsid w:val="00A73735"/>
    <w:rsid w:val="00A74180"/>
    <w:rsid w:val="00A748C4"/>
    <w:rsid w:val="00A75273"/>
    <w:rsid w:val="00A82C6A"/>
    <w:rsid w:val="00A8394B"/>
    <w:rsid w:val="00A84B43"/>
    <w:rsid w:val="00A84FB0"/>
    <w:rsid w:val="00A92686"/>
    <w:rsid w:val="00A9379D"/>
    <w:rsid w:val="00A93CB3"/>
    <w:rsid w:val="00A943C7"/>
    <w:rsid w:val="00A95DDF"/>
    <w:rsid w:val="00A9657F"/>
    <w:rsid w:val="00A979DC"/>
    <w:rsid w:val="00AA0FDF"/>
    <w:rsid w:val="00AA2ED2"/>
    <w:rsid w:val="00AA4A8D"/>
    <w:rsid w:val="00AA7FAE"/>
    <w:rsid w:val="00AB0545"/>
    <w:rsid w:val="00AB080C"/>
    <w:rsid w:val="00AB1687"/>
    <w:rsid w:val="00AB43A2"/>
    <w:rsid w:val="00AB5148"/>
    <w:rsid w:val="00AB5365"/>
    <w:rsid w:val="00AC0297"/>
    <w:rsid w:val="00AC3EE2"/>
    <w:rsid w:val="00AC4666"/>
    <w:rsid w:val="00AC5267"/>
    <w:rsid w:val="00AC6BDE"/>
    <w:rsid w:val="00AC74B0"/>
    <w:rsid w:val="00AD0217"/>
    <w:rsid w:val="00AD08B3"/>
    <w:rsid w:val="00AD09C9"/>
    <w:rsid w:val="00AD0DF8"/>
    <w:rsid w:val="00AD0F00"/>
    <w:rsid w:val="00AD1654"/>
    <w:rsid w:val="00AD72E1"/>
    <w:rsid w:val="00AD73B3"/>
    <w:rsid w:val="00AD756C"/>
    <w:rsid w:val="00AE5223"/>
    <w:rsid w:val="00AE70CB"/>
    <w:rsid w:val="00AF105E"/>
    <w:rsid w:val="00AF40A1"/>
    <w:rsid w:val="00AF48AF"/>
    <w:rsid w:val="00AF4E72"/>
    <w:rsid w:val="00AF58E7"/>
    <w:rsid w:val="00AF6340"/>
    <w:rsid w:val="00AF6D95"/>
    <w:rsid w:val="00B02621"/>
    <w:rsid w:val="00B04FD4"/>
    <w:rsid w:val="00B052A5"/>
    <w:rsid w:val="00B058D4"/>
    <w:rsid w:val="00B074A6"/>
    <w:rsid w:val="00B07AA3"/>
    <w:rsid w:val="00B1022C"/>
    <w:rsid w:val="00B10E02"/>
    <w:rsid w:val="00B11307"/>
    <w:rsid w:val="00B12182"/>
    <w:rsid w:val="00B13F71"/>
    <w:rsid w:val="00B14122"/>
    <w:rsid w:val="00B15C61"/>
    <w:rsid w:val="00B16145"/>
    <w:rsid w:val="00B16D70"/>
    <w:rsid w:val="00B17D30"/>
    <w:rsid w:val="00B20FCE"/>
    <w:rsid w:val="00B2130D"/>
    <w:rsid w:val="00B255A9"/>
    <w:rsid w:val="00B2599C"/>
    <w:rsid w:val="00B26090"/>
    <w:rsid w:val="00B27170"/>
    <w:rsid w:val="00B314CC"/>
    <w:rsid w:val="00B3301F"/>
    <w:rsid w:val="00B33A20"/>
    <w:rsid w:val="00B3434B"/>
    <w:rsid w:val="00B34761"/>
    <w:rsid w:val="00B3499D"/>
    <w:rsid w:val="00B3747C"/>
    <w:rsid w:val="00B37F52"/>
    <w:rsid w:val="00B40EA4"/>
    <w:rsid w:val="00B42D7A"/>
    <w:rsid w:val="00B4405E"/>
    <w:rsid w:val="00B44A90"/>
    <w:rsid w:val="00B44C21"/>
    <w:rsid w:val="00B44EBF"/>
    <w:rsid w:val="00B46AE2"/>
    <w:rsid w:val="00B4729A"/>
    <w:rsid w:val="00B50CB1"/>
    <w:rsid w:val="00B51543"/>
    <w:rsid w:val="00B51605"/>
    <w:rsid w:val="00B56A39"/>
    <w:rsid w:val="00B57EB2"/>
    <w:rsid w:val="00B6021E"/>
    <w:rsid w:val="00B6083A"/>
    <w:rsid w:val="00B6097C"/>
    <w:rsid w:val="00B6246A"/>
    <w:rsid w:val="00B62A44"/>
    <w:rsid w:val="00B638B0"/>
    <w:rsid w:val="00B63F33"/>
    <w:rsid w:val="00B64068"/>
    <w:rsid w:val="00B678A6"/>
    <w:rsid w:val="00B67ABE"/>
    <w:rsid w:val="00B70A5B"/>
    <w:rsid w:val="00B760D0"/>
    <w:rsid w:val="00B80F8A"/>
    <w:rsid w:val="00B82447"/>
    <w:rsid w:val="00B839D6"/>
    <w:rsid w:val="00B84BE0"/>
    <w:rsid w:val="00B863AF"/>
    <w:rsid w:val="00B9014E"/>
    <w:rsid w:val="00B9070F"/>
    <w:rsid w:val="00B91082"/>
    <w:rsid w:val="00B92155"/>
    <w:rsid w:val="00B92824"/>
    <w:rsid w:val="00B9432E"/>
    <w:rsid w:val="00B96103"/>
    <w:rsid w:val="00B97D4C"/>
    <w:rsid w:val="00BA081D"/>
    <w:rsid w:val="00BA0A8F"/>
    <w:rsid w:val="00BA135E"/>
    <w:rsid w:val="00BA1A0C"/>
    <w:rsid w:val="00BA1AD4"/>
    <w:rsid w:val="00BA3E48"/>
    <w:rsid w:val="00BA44DD"/>
    <w:rsid w:val="00BA5D6E"/>
    <w:rsid w:val="00BB055E"/>
    <w:rsid w:val="00BB0E80"/>
    <w:rsid w:val="00BB3DC1"/>
    <w:rsid w:val="00BB59E8"/>
    <w:rsid w:val="00BC10BA"/>
    <w:rsid w:val="00BC22E9"/>
    <w:rsid w:val="00BC51F7"/>
    <w:rsid w:val="00BC60AF"/>
    <w:rsid w:val="00BD0FEA"/>
    <w:rsid w:val="00BD10F1"/>
    <w:rsid w:val="00BD297F"/>
    <w:rsid w:val="00BD66E0"/>
    <w:rsid w:val="00BE017A"/>
    <w:rsid w:val="00BE285F"/>
    <w:rsid w:val="00BE3536"/>
    <w:rsid w:val="00BF2565"/>
    <w:rsid w:val="00BF7724"/>
    <w:rsid w:val="00C02FD9"/>
    <w:rsid w:val="00C04934"/>
    <w:rsid w:val="00C0583B"/>
    <w:rsid w:val="00C05894"/>
    <w:rsid w:val="00C07AEB"/>
    <w:rsid w:val="00C10DAB"/>
    <w:rsid w:val="00C1141B"/>
    <w:rsid w:val="00C11634"/>
    <w:rsid w:val="00C12238"/>
    <w:rsid w:val="00C14571"/>
    <w:rsid w:val="00C14FA6"/>
    <w:rsid w:val="00C15B6C"/>
    <w:rsid w:val="00C16361"/>
    <w:rsid w:val="00C170BC"/>
    <w:rsid w:val="00C17B6C"/>
    <w:rsid w:val="00C20949"/>
    <w:rsid w:val="00C2182A"/>
    <w:rsid w:val="00C21EF2"/>
    <w:rsid w:val="00C23DBE"/>
    <w:rsid w:val="00C24C3E"/>
    <w:rsid w:val="00C262FC"/>
    <w:rsid w:val="00C26E4C"/>
    <w:rsid w:val="00C276FB"/>
    <w:rsid w:val="00C316FF"/>
    <w:rsid w:val="00C31CD2"/>
    <w:rsid w:val="00C336CC"/>
    <w:rsid w:val="00C34BBE"/>
    <w:rsid w:val="00C3545D"/>
    <w:rsid w:val="00C35FE9"/>
    <w:rsid w:val="00C360CD"/>
    <w:rsid w:val="00C36607"/>
    <w:rsid w:val="00C41D23"/>
    <w:rsid w:val="00C42585"/>
    <w:rsid w:val="00C42BFC"/>
    <w:rsid w:val="00C43217"/>
    <w:rsid w:val="00C442C2"/>
    <w:rsid w:val="00C4451B"/>
    <w:rsid w:val="00C501D6"/>
    <w:rsid w:val="00C5076F"/>
    <w:rsid w:val="00C571C7"/>
    <w:rsid w:val="00C622C8"/>
    <w:rsid w:val="00C62458"/>
    <w:rsid w:val="00C62B0F"/>
    <w:rsid w:val="00C634B8"/>
    <w:rsid w:val="00C63700"/>
    <w:rsid w:val="00C65A17"/>
    <w:rsid w:val="00C66DDE"/>
    <w:rsid w:val="00C67F60"/>
    <w:rsid w:val="00C7066A"/>
    <w:rsid w:val="00C70CB9"/>
    <w:rsid w:val="00C70FAF"/>
    <w:rsid w:val="00C71365"/>
    <w:rsid w:val="00C725C0"/>
    <w:rsid w:val="00C76AB8"/>
    <w:rsid w:val="00C76CCB"/>
    <w:rsid w:val="00C76E5D"/>
    <w:rsid w:val="00C77B26"/>
    <w:rsid w:val="00C81930"/>
    <w:rsid w:val="00C81EEB"/>
    <w:rsid w:val="00C81F95"/>
    <w:rsid w:val="00C82088"/>
    <w:rsid w:val="00C853D9"/>
    <w:rsid w:val="00C856F0"/>
    <w:rsid w:val="00C86862"/>
    <w:rsid w:val="00C86BB5"/>
    <w:rsid w:val="00C87545"/>
    <w:rsid w:val="00C90695"/>
    <w:rsid w:val="00C93F49"/>
    <w:rsid w:val="00C94461"/>
    <w:rsid w:val="00C95280"/>
    <w:rsid w:val="00C96531"/>
    <w:rsid w:val="00C973DD"/>
    <w:rsid w:val="00C97964"/>
    <w:rsid w:val="00C97DD8"/>
    <w:rsid w:val="00CA1451"/>
    <w:rsid w:val="00CA1857"/>
    <w:rsid w:val="00CA3792"/>
    <w:rsid w:val="00CA396F"/>
    <w:rsid w:val="00CA5639"/>
    <w:rsid w:val="00CA71DD"/>
    <w:rsid w:val="00CB1370"/>
    <w:rsid w:val="00CB197B"/>
    <w:rsid w:val="00CB383F"/>
    <w:rsid w:val="00CB5F2D"/>
    <w:rsid w:val="00CB74C4"/>
    <w:rsid w:val="00CB792E"/>
    <w:rsid w:val="00CB7B6C"/>
    <w:rsid w:val="00CB7CBB"/>
    <w:rsid w:val="00CB7D1E"/>
    <w:rsid w:val="00CC000F"/>
    <w:rsid w:val="00CC1B6A"/>
    <w:rsid w:val="00CC2054"/>
    <w:rsid w:val="00CC36D8"/>
    <w:rsid w:val="00CC4422"/>
    <w:rsid w:val="00CC7426"/>
    <w:rsid w:val="00CD0807"/>
    <w:rsid w:val="00CD0A43"/>
    <w:rsid w:val="00CD1094"/>
    <w:rsid w:val="00CD1C53"/>
    <w:rsid w:val="00CD1CA1"/>
    <w:rsid w:val="00CD22C6"/>
    <w:rsid w:val="00CD31CA"/>
    <w:rsid w:val="00CD468A"/>
    <w:rsid w:val="00CD4E88"/>
    <w:rsid w:val="00CD5B1D"/>
    <w:rsid w:val="00CD5C09"/>
    <w:rsid w:val="00CD625C"/>
    <w:rsid w:val="00CD711C"/>
    <w:rsid w:val="00CD71DC"/>
    <w:rsid w:val="00CE095B"/>
    <w:rsid w:val="00CE1C5B"/>
    <w:rsid w:val="00CE6A1F"/>
    <w:rsid w:val="00CF0887"/>
    <w:rsid w:val="00CF094D"/>
    <w:rsid w:val="00CF3165"/>
    <w:rsid w:val="00CF4643"/>
    <w:rsid w:val="00CF70F3"/>
    <w:rsid w:val="00CF7528"/>
    <w:rsid w:val="00CF7CF0"/>
    <w:rsid w:val="00D0063A"/>
    <w:rsid w:val="00D01F2F"/>
    <w:rsid w:val="00D027EA"/>
    <w:rsid w:val="00D07FA5"/>
    <w:rsid w:val="00D100A7"/>
    <w:rsid w:val="00D1228B"/>
    <w:rsid w:val="00D12D6A"/>
    <w:rsid w:val="00D1481F"/>
    <w:rsid w:val="00D207BC"/>
    <w:rsid w:val="00D209B6"/>
    <w:rsid w:val="00D2329B"/>
    <w:rsid w:val="00D24A14"/>
    <w:rsid w:val="00D24E12"/>
    <w:rsid w:val="00D25346"/>
    <w:rsid w:val="00D2581B"/>
    <w:rsid w:val="00D263F9"/>
    <w:rsid w:val="00D26B7F"/>
    <w:rsid w:val="00D26FA7"/>
    <w:rsid w:val="00D27474"/>
    <w:rsid w:val="00D27524"/>
    <w:rsid w:val="00D3190F"/>
    <w:rsid w:val="00D33DC7"/>
    <w:rsid w:val="00D340DB"/>
    <w:rsid w:val="00D36356"/>
    <w:rsid w:val="00D36685"/>
    <w:rsid w:val="00D412DC"/>
    <w:rsid w:val="00D41B4C"/>
    <w:rsid w:val="00D420DD"/>
    <w:rsid w:val="00D42CEE"/>
    <w:rsid w:val="00D42F1D"/>
    <w:rsid w:val="00D451F7"/>
    <w:rsid w:val="00D46711"/>
    <w:rsid w:val="00D47760"/>
    <w:rsid w:val="00D52E1C"/>
    <w:rsid w:val="00D54806"/>
    <w:rsid w:val="00D557B4"/>
    <w:rsid w:val="00D55DE4"/>
    <w:rsid w:val="00D56BD3"/>
    <w:rsid w:val="00D60A01"/>
    <w:rsid w:val="00D60BB7"/>
    <w:rsid w:val="00D615AE"/>
    <w:rsid w:val="00D62D9F"/>
    <w:rsid w:val="00D64C82"/>
    <w:rsid w:val="00D65F50"/>
    <w:rsid w:val="00D66AEE"/>
    <w:rsid w:val="00D66C82"/>
    <w:rsid w:val="00D67A79"/>
    <w:rsid w:val="00D70199"/>
    <w:rsid w:val="00D71436"/>
    <w:rsid w:val="00D7199C"/>
    <w:rsid w:val="00D719F5"/>
    <w:rsid w:val="00D73149"/>
    <w:rsid w:val="00D76E5E"/>
    <w:rsid w:val="00D801A0"/>
    <w:rsid w:val="00D8036F"/>
    <w:rsid w:val="00D8072B"/>
    <w:rsid w:val="00D80A34"/>
    <w:rsid w:val="00D80ADC"/>
    <w:rsid w:val="00D80F4A"/>
    <w:rsid w:val="00D8317A"/>
    <w:rsid w:val="00D8333B"/>
    <w:rsid w:val="00D83D82"/>
    <w:rsid w:val="00D85D02"/>
    <w:rsid w:val="00D86588"/>
    <w:rsid w:val="00D87815"/>
    <w:rsid w:val="00D87A38"/>
    <w:rsid w:val="00D90718"/>
    <w:rsid w:val="00D92117"/>
    <w:rsid w:val="00D92739"/>
    <w:rsid w:val="00D94460"/>
    <w:rsid w:val="00D94712"/>
    <w:rsid w:val="00D94EB8"/>
    <w:rsid w:val="00D95673"/>
    <w:rsid w:val="00D961B7"/>
    <w:rsid w:val="00D96BAC"/>
    <w:rsid w:val="00DA0B34"/>
    <w:rsid w:val="00DA1699"/>
    <w:rsid w:val="00DA1CDE"/>
    <w:rsid w:val="00DA2EA1"/>
    <w:rsid w:val="00DA4A8D"/>
    <w:rsid w:val="00DA5B4A"/>
    <w:rsid w:val="00DA6324"/>
    <w:rsid w:val="00DA6F70"/>
    <w:rsid w:val="00DB0297"/>
    <w:rsid w:val="00DB045D"/>
    <w:rsid w:val="00DB151C"/>
    <w:rsid w:val="00DB162E"/>
    <w:rsid w:val="00DB1BCB"/>
    <w:rsid w:val="00DB2D44"/>
    <w:rsid w:val="00DB40D6"/>
    <w:rsid w:val="00DB48AB"/>
    <w:rsid w:val="00DB4A1C"/>
    <w:rsid w:val="00DB51CF"/>
    <w:rsid w:val="00DB6539"/>
    <w:rsid w:val="00DB6E17"/>
    <w:rsid w:val="00DB71A2"/>
    <w:rsid w:val="00DB7454"/>
    <w:rsid w:val="00DC236D"/>
    <w:rsid w:val="00DC2550"/>
    <w:rsid w:val="00DC40AB"/>
    <w:rsid w:val="00DC70D7"/>
    <w:rsid w:val="00DC7F59"/>
    <w:rsid w:val="00DD027B"/>
    <w:rsid w:val="00DD037B"/>
    <w:rsid w:val="00DD0796"/>
    <w:rsid w:val="00DD15C3"/>
    <w:rsid w:val="00DD16F2"/>
    <w:rsid w:val="00DD2282"/>
    <w:rsid w:val="00DD514F"/>
    <w:rsid w:val="00DD57B1"/>
    <w:rsid w:val="00DD6932"/>
    <w:rsid w:val="00DD7E5E"/>
    <w:rsid w:val="00DE19AB"/>
    <w:rsid w:val="00DE453E"/>
    <w:rsid w:val="00DE4FD3"/>
    <w:rsid w:val="00DE7CD9"/>
    <w:rsid w:val="00DF0DB3"/>
    <w:rsid w:val="00DF3925"/>
    <w:rsid w:val="00DF3E2B"/>
    <w:rsid w:val="00DF5869"/>
    <w:rsid w:val="00DF6711"/>
    <w:rsid w:val="00DF6C21"/>
    <w:rsid w:val="00E00367"/>
    <w:rsid w:val="00E0236D"/>
    <w:rsid w:val="00E02D49"/>
    <w:rsid w:val="00E0671F"/>
    <w:rsid w:val="00E06FB2"/>
    <w:rsid w:val="00E10B4F"/>
    <w:rsid w:val="00E116F5"/>
    <w:rsid w:val="00E11C4E"/>
    <w:rsid w:val="00E11D07"/>
    <w:rsid w:val="00E15CF9"/>
    <w:rsid w:val="00E17674"/>
    <w:rsid w:val="00E204FB"/>
    <w:rsid w:val="00E20543"/>
    <w:rsid w:val="00E22435"/>
    <w:rsid w:val="00E23E02"/>
    <w:rsid w:val="00E25378"/>
    <w:rsid w:val="00E25517"/>
    <w:rsid w:val="00E259AC"/>
    <w:rsid w:val="00E26A45"/>
    <w:rsid w:val="00E30937"/>
    <w:rsid w:val="00E30CE7"/>
    <w:rsid w:val="00E33AC9"/>
    <w:rsid w:val="00E341C7"/>
    <w:rsid w:val="00E343C8"/>
    <w:rsid w:val="00E364E3"/>
    <w:rsid w:val="00E43184"/>
    <w:rsid w:val="00E46214"/>
    <w:rsid w:val="00E46919"/>
    <w:rsid w:val="00E46D8B"/>
    <w:rsid w:val="00E52B91"/>
    <w:rsid w:val="00E54426"/>
    <w:rsid w:val="00E54977"/>
    <w:rsid w:val="00E55C4A"/>
    <w:rsid w:val="00E5622F"/>
    <w:rsid w:val="00E56560"/>
    <w:rsid w:val="00E57933"/>
    <w:rsid w:val="00E60BA3"/>
    <w:rsid w:val="00E60C8C"/>
    <w:rsid w:val="00E61FEA"/>
    <w:rsid w:val="00E6303C"/>
    <w:rsid w:val="00E634F5"/>
    <w:rsid w:val="00E64611"/>
    <w:rsid w:val="00E64A27"/>
    <w:rsid w:val="00E65D5F"/>
    <w:rsid w:val="00E66BAD"/>
    <w:rsid w:val="00E708D8"/>
    <w:rsid w:val="00E7097D"/>
    <w:rsid w:val="00E71564"/>
    <w:rsid w:val="00E71614"/>
    <w:rsid w:val="00E721B5"/>
    <w:rsid w:val="00E7261D"/>
    <w:rsid w:val="00E7281A"/>
    <w:rsid w:val="00E73CE9"/>
    <w:rsid w:val="00E74CD3"/>
    <w:rsid w:val="00E75463"/>
    <w:rsid w:val="00E7787F"/>
    <w:rsid w:val="00E806D6"/>
    <w:rsid w:val="00E80BB0"/>
    <w:rsid w:val="00E81A82"/>
    <w:rsid w:val="00E85A68"/>
    <w:rsid w:val="00E87A8C"/>
    <w:rsid w:val="00E87E2F"/>
    <w:rsid w:val="00E90290"/>
    <w:rsid w:val="00E905B5"/>
    <w:rsid w:val="00E91583"/>
    <w:rsid w:val="00E960B2"/>
    <w:rsid w:val="00E96E0E"/>
    <w:rsid w:val="00E979CB"/>
    <w:rsid w:val="00EA182F"/>
    <w:rsid w:val="00EA3FA3"/>
    <w:rsid w:val="00EA4533"/>
    <w:rsid w:val="00EA4D61"/>
    <w:rsid w:val="00EA5404"/>
    <w:rsid w:val="00EA548D"/>
    <w:rsid w:val="00EA5AB7"/>
    <w:rsid w:val="00EA61F2"/>
    <w:rsid w:val="00EA7E38"/>
    <w:rsid w:val="00EB1F5A"/>
    <w:rsid w:val="00EB2AA1"/>
    <w:rsid w:val="00EB2CA0"/>
    <w:rsid w:val="00EB4830"/>
    <w:rsid w:val="00EB6943"/>
    <w:rsid w:val="00EB6BF5"/>
    <w:rsid w:val="00EB6EE8"/>
    <w:rsid w:val="00EB7CB6"/>
    <w:rsid w:val="00EC0058"/>
    <w:rsid w:val="00EC50DD"/>
    <w:rsid w:val="00EC5392"/>
    <w:rsid w:val="00EC5D68"/>
    <w:rsid w:val="00EC60B5"/>
    <w:rsid w:val="00EC613B"/>
    <w:rsid w:val="00EC63F2"/>
    <w:rsid w:val="00ED00FA"/>
    <w:rsid w:val="00ED54C2"/>
    <w:rsid w:val="00ED6113"/>
    <w:rsid w:val="00ED71F2"/>
    <w:rsid w:val="00ED7834"/>
    <w:rsid w:val="00ED79FB"/>
    <w:rsid w:val="00EE0767"/>
    <w:rsid w:val="00EE0963"/>
    <w:rsid w:val="00EE1EDC"/>
    <w:rsid w:val="00EE2E8E"/>
    <w:rsid w:val="00EE2EE4"/>
    <w:rsid w:val="00EE5D88"/>
    <w:rsid w:val="00EE7E62"/>
    <w:rsid w:val="00EF037E"/>
    <w:rsid w:val="00EF15C4"/>
    <w:rsid w:val="00EF1900"/>
    <w:rsid w:val="00EF1AFF"/>
    <w:rsid w:val="00EF1FE6"/>
    <w:rsid w:val="00EF2097"/>
    <w:rsid w:val="00EF27C9"/>
    <w:rsid w:val="00EF49CC"/>
    <w:rsid w:val="00EF54AA"/>
    <w:rsid w:val="00EF6219"/>
    <w:rsid w:val="00F014DB"/>
    <w:rsid w:val="00F02518"/>
    <w:rsid w:val="00F03F74"/>
    <w:rsid w:val="00F03FCB"/>
    <w:rsid w:val="00F0400C"/>
    <w:rsid w:val="00F063DE"/>
    <w:rsid w:val="00F06FD4"/>
    <w:rsid w:val="00F15F2C"/>
    <w:rsid w:val="00F162E0"/>
    <w:rsid w:val="00F21791"/>
    <w:rsid w:val="00F21C6E"/>
    <w:rsid w:val="00F25DD6"/>
    <w:rsid w:val="00F25F69"/>
    <w:rsid w:val="00F2612C"/>
    <w:rsid w:val="00F2666C"/>
    <w:rsid w:val="00F26F7A"/>
    <w:rsid w:val="00F272CF"/>
    <w:rsid w:val="00F2735A"/>
    <w:rsid w:val="00F325DF"/>
    <w:rsid w:val="00F3265D"/>
    <w:rsid w:val="00F32B4F"/>
    <w:rsid w:val="00F360C6"/>
    <w:rsid w:val="00F36DBC"/>
    <w:rsid w:val="00F37195"/>
    <w:rsid w:val="00F37DF6"/>
    <w:rsid w:val="00F37E14"/>
    <w:rsid w:val="00F4170A"/>
    <w:rsid w:val="00F41D9A"/>
    <w:rsid w:val="00F421DD"/>
    <w:rsid w:val="00F42D17"/>
    <w:rsid w:val="00F43ABF"/>
    <w:rsid w:val="00F43CB9"/>
    <w:rsid w:val="00F440CD"/>
    <w:rsid w:val="00F44E6E"/>
    <w:rsid w:val="00F45F9F"/>
    <w:rsid w:val="00F46181"/>
    <w:rsid w:val="00F46243"/>
    <w:rsid w:val="00F46F19"/>
    <w:rsid w:val="00F520DA"/>
    <w:rsid w:val="00F527AC"/>
    <w:rsid w:val="00F536D7"/>
    <w:rsid w:val="00F53F57"/>
    <w:rsid w:val="00F5776D"/>
    <w:rsid w:val="00F57E56"/>
    <w:rsid w:val="00F604B4"/>
    <w:rsid w:val="00F60C35"/>
    <w:rsid w:val="00F622C9"/>
    <w:rsid w:val="00F63A7F"/>
    <w:rsid w:val="00F63FA5"/>
    <w:rsid w:val="00F640F9"/>
    <w:rsid w:val="00F648D9"/>
    <w:rsid w:val="00F667BC"/>
    <w:rsid w:val="00F67140"/>
    <w:rsid w:val="00F6792D"/>
    <w:rsid w:val="00F70319"/>
    <w:rsid w:val="00F710AF"/>
    <w:rsid w:val="00F73817"/>
    <w:rsid w:val="00F73E06"/>
    <w:rsid w:val="00F74B60"/>
    <w:rsid w:val="00F76A80"/>
    <w:rsid w:val="00F779DE"/>
    <w:rsid w:val="00F77C10"/>
    <w:rsid w:val="00F77E3A"/>
    <w:rsid w:val="00F80B53"/>
    <w:rsid w:val="00F8189B"/>
    <w:rsid w:val="00F84650"/>
    <w:rsid w:val="00F8531F"/>
    <w:rsid w:val="00F86995"/>
    <w:rsid w:val="00F87465"/>
    <w:rsid w:val="00F900FB"/>
    <w:rsid w:val="00F9176A"/>
    <w:rsid w:val="00F92F42"/>
    <w:rsid w:val="00F961F8"/>
    <w:rsid w:val="00F96DDD"/>
    <w:rsid w:val="00F96E94"/>
    <w:rsid w:val="00F97D57"/>
    <w:rsid w:val="00FA2526"/>
    <w:rsid w:val="00FA43C8"/>
    <w:rsid w:val="00FA498B"/>
    <w:rsid w:val="00FA4FAA"/>
    <w:rsid w:val="00FA61C7"/>
    <w:rsid w:val="00FB12D2"/>
    <w:rsid w:val="00FB494F"/>
    <w:rsid w:val="00FB730E"/>
    <w:rsid w:val="00FB79B4"/>
    <w:rsid w:val="00FC0693"/>
    <w:rsid w:val="00FC1289"/>
    <w:rsid w:val="00FC23F2"/>
    <w:rsid w:val="00FC2741"/>
    <w:rsid w:val="00FC2804"/>
    <w:rsid w:val="00FC41CC"/>
    <w:rsid w:val="00FC44FF"/>
    <w:rsid w:val="00FC5484"/>
    <w:rsid w:val="00FC6614"/>
    <w:rsid w:val="00FC78D1"/>
    <w:rsid w:val="00FD1346"/>
    <w:rsid w:val="00FD13CA"/>
    <w:rsid w:val="00FD39CF"/>
    <w:rsid w:val="00FD3DC6"/>
    <w:rsid w:val="00FD54DE"/>
    <w:rsid w:val="00FD59A8"/>
    <w:rsid w:val="00FE15A8"/>
    <w:rsid w:val="00FE2715"/>
    <w:rsid w:val="00FE3BB0"/>
    <w:rsid w:val="00FE7ED1"/>
    <w:rsid w:val="00FE7FFD"/>
    <w:rsid w:val="00FF0F86"/>
    <w:rsid w:val="00FF146A"/>
    <w:rsid w:val="00FF22FA"/>
    <w:rsid w:val="00FF2523"/>
    <w:rsid w:val="00FF3746"/>
    <w:rsid w:val="00FF464C"/>
    <w:rsid w:val="00FF48A0"/>
    <w:rsid w:val="00FF4979"/>
    <w:rsid w:val="00FF4E78"/>
    <w:rsid w:val="00FF5FC3"/>
    <w:rsid w:val="0B7F0F43"/>
    <w:rsid w:val="1062DCCE"/>
    <w:rsid w:val="61073F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43FF"/>
  <w15:chartTrackingRefBased/>
  <w15:docId w15:val="{9AAB9BC9-EBFB-4595-BCB9-8ADFAF1B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9"/>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DDA"/>
    <w:qFormat/>
    <w:rsid w:val="00B70A5B"/>
    <w:pPr>
      <w:jc w:val="both"/>
    </w:pPr>
  </w:style>
  <w:style w:type="paragraph" w:styleId="Kop1">
    <w:name w:val="heading 1"/>
    <w:basedOn w:val="Standaard"/>
    <w:next w:val="Standaard"/>
    <w:link w:val="Kop1Char"/>
    <w:uiPriority w:val="9"/>
    <w:qFormat/>
    <w:rsid w:val="001A5A08"/>
    <w:pPr>
      <w:keepNext/>
      <w:keepLines/>
      <w:numPr>
        <w:numId w:val="3"/>
      </w:numPr>
      <w:spacing w:before="240"/>
      <w:outlineLvl w:val="0"/>
    </w:pPr>
    <w:rPr>
      <w:rFonts w:eastAsiaTheme="majorEastAsia" w:cstheme="majorBidi"/>
      <w:color w:val="6ABE93"/>
      <w:sz w:val="32"/>
      <w:szCs w:val="32"/>
    </w:rPr>
  </w:style>
  <w:style w:type="paragraph" w:styleId="Kop2">
    <w:name w:val="heading 2"/>
    <w:basedOn w:val="Standaard"/>
    <w:next w:val="Standaard"/>
    <w:link w:val="Kop2Char"/>
    <w:uiPriority w:val="9"/>
    <w:unhideWhenUsed/>
    <w:qFormat/>
    <w:rsid w:val="00F063DE"/>
    <w:pPr>
      <w:keepNext/>
      <w:keepLines/>
      <w:numPr>
        <w:ilvl w:val="1"/>
        <w:numId w:val="3"/>
      </w:numPr>
      <w:spacing w:before="40"/>
      <w:outlineLvl w:val="1"/>
    </w:pPr>
    <w:rPr>
      <w:rFonts w:eastAsiaTheme="majorEastAsia" w:cstheme="majorBidi"/>
      <w:color w:val="6ABE93"/>
      <w:sz w:val="24"/>
      <w:szCs w:val="26"/>
    </w:rPr>
  </w:style>
  <w:style w:type="paragraph" w:styleId="Kop3">
    <w:name w:val="heading 3"/>
    <w:basedOn w:val="Standaard"/>
    <w:next w:val="Standaard"/>
    <w:link w:val="Kop3Char"/>
    <w:uiPriority w:val="9"/>
    <w:unhideWhenUsed/>
    <w:qFormat/>
    <w:rsid w:val="00086C68"/>
    <w:pPr>
      <w:keepNext/>
      <w:keepLines/>
      <w:numPr>
        <w:ilvl w:val="2"/>
        <w:numId w:val="3"/>
      </w:numPr>
      <w:spacing w:before="40"/>
      <w:ind w:left="720"/>
      <w:outlineLvl w:val="2"/>
    </w:pPr>
    <w:rPr>
      <w:rFonts w:eastAsiaTheme="majorEastAsia" w:cstheme="majorBidi"/>
      <w:color w:val="6ABE93"/>
      <w:sz w:val="22"/>
    </w:rPr>
  </w:style>
  <w:style w:type="paragraph" w:styleId="Kop4">
    <w:name w:val="heading 4"/>
    <w:basedOn w:val="Standaard"/>
    <w:next w:val="Standaard"/>
    <w:link w:val="Kop4Char"/>
    <w:uiPriority w:val="9"/>
    <w:semiHidden/>
    <w:unhideWhenUsed/>
    <w:qFormat/>
    <w:rsid w:val="001A5A08"/>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A5A0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A5A08"/>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A5A08"/>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A5A0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A5A0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andaard 2"/>
    <w:uiPriority w:val="99"/>
    <w:qFormat/>
    <w:rsid w:val="00600FFB"/>
    <w:pPr>
      <w:spacing w:before="120" w:after="120"/>
      <w:jc w:val="both"/>
    </w:pPr>
    <w:rPr>
      <w:szCs w:val="20"/>
    </w:rPr>
  </w:style>
  <w:style w:type="character" w:customStyle="1" w:styleId="Kop1Char">
    <w:name w:val="Kop 1 Char"/>
    <w:basedOn w:val="Standaardalinea-lettertype"/>
    <w:link w:val="Kop1"/>
    <w:uiPriority w:val="9"/>
    <w:rsid w:val="001A5A08"/>
    <w:rPr>
      <w:rFonts w:ascii="Verdana" w:eastAsiaTheme="majorEastAsia" w:hAnsi="Verdana" w:cstheme="majorBidi"/>
      <w:color w:val="6ABE93"/>
      <w:sz w:val="32"/>
      <w:szCs w:val="32"/>
    </w:rPr>
  </w:style>
  <w:style w:type="paragraph" w:styleId="Inhopg1">
    <w:name w:val="toc 1"/>
    <w:basedOn w:val="Standaard"/>
    <w:next w:val="Standaard"/>
    <w:autoRedefine/>
    <w:uiPriority w:val="39"/>
    <w:unhideWhenUsed/>
    <w:rsid w:val="00ED6113"/>
    <w:pPr>
      <w:spacing w:before="240" w:after="120"/>
      <w:jc w:val="left"/>
    </w:pPr>
    <w:rPr>
      <w:rFonts w:cstheme="minorHAnsi"/>
      <w:b/>
      <w:bCs/>
      <w:szCs w:val="20"/>
    </w:rPr>
  </w:style>
  <w:style w:type="character" w:customStyle="1" w:styleId="Kop2Char">
    <w:name w:val="Kop 2 Char"/>
    <w:basedOn w:val="Standaardalinea-lettertype"/>
    <w:link w:val="Kop2"/>
    <w:uiPriority w:val="9"/>
    <w:rsid w:val="00F063DE"/>
    <w:rPr>
      <w:rFonts w:ascii="Verdana" w:eastAsiaTheme="majorEastAsia" w:hAnsi="Verdana" w:cstheme="majorBidi"/>
      <w:color w:val="6ABE93"/>
      <w:szCs w:val="26"/>
    </w:rPr>
  </w:style>
  <w:style w:type="character" w:customStyle="1" w:styleId="Kop3Char">
    <w:name w:val="Kop 3 Char"/>
    <w:basedOn w:val="Standaardalinea-lettertype"/>
    <w:link w:val="Kop3"/>
    <w:uiPriority w:val="9"/>
    <w:rsid w:val="00086C68"/>
    <w:rPr>
      <w:rFonts w:ascii="Verdana" w:eastAsiaTheme="majorEastAsia" w:hAnsi="Verdana" w:cstheme="majorBidi"/>
      <w:color w:val="6ABE93"/>
      <w:sz w:val="22"/>
    </w:rPr>
  </w:style>
  <w:style w:type="character" w:customStyle="1" w:styleId="Kop4Char">
    <w:name w:val="Kop 4 Char"/>
    <w:basedOn w:val="Standaardalinea-lettertype"/>
    <w:link w:val="Kop4"/>
    <w:uiPriority w:val="9"/>
    <w:semiHidden/>
    <w:rsid w:val="001A5A08"/>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1A5A08"/>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1A5A08"/>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1A5A08"/>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1A5A0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A5A08"/>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8008E2"/>
    <w:rPr>
      <w:color w:val="0563C1" w:themeColor="hyperlink"/>
      <w:u w:val="single"/>
    </w:rPr>
  </w:style>
  <w:style w:type="paragraph" w:styleId="Inhopg2">
    <w:name w:val="toc 2"/>
    <w:basedOn w:val="Standaard"/>
    <w:next w:val="Standaard"/>
    <w:autoRedefine/>
    <w:uiPriority w:val="39"/>
    <w:unhideWhenUsed/>
    <w:rsid w:val="00ED6113"/>
    <w:pPr>
      <w:spacing w:before="120"/>
      <w:ind w:left="190"/>
      <w:jc w:val="left"/>
    </w:pPr>
    <w:rPr>
      <w:rFonts w:cstheme="minorHAnsi"/>
      <w:i/>
      <w:iCs/>
      <w:szCs w:val="20"/>
    </w:rPr>
  </w:style>
  <w:style w:type="paragraph" w:styleId="Inhopg3">
    <w:name w:val="toc 3"/>
    <w:basedOn w:val="Standaard"/>
    <w:next w:val="Standaard"/>
    <w:autoRedefine/>
    <w:uiPriority w:val="39"/>
    <w:unhideWhenUsed/>
    <w:rsid w:val="00ED6113"/>
    <w:pPr>
      <w:ind w:left="380"/>
      <w:jc w:val="left"/>
    </w:pPr>
    <w:rPr>
      <w:rFonts w:cstheme="minorHAnsi"/>
      <w:szCs w:val="20"/>
    </w:rPr>
  </w:style>
  <w:style w:type="paragraph" w:styleId="Inhopg4">
    <w:name w:val="toc 4"/>
    <w:basedOn w:val="Standaard"/>
    <w:next w:val="Standaard"/>
    <w:autoRedefine/>
    <w:uiPriority w:val="39"/>
    <w:unhideWhenUsed/>
    <w:rsid w:val="00ED6113"/>
    <w:pPr>
      <w:ind w:left="570"/>
      <w:jc w:val="left"/>
    </w:pPr>
    <w:rPr>
      <w:rFonts w:cstheme="minorHAnsi"/>
      <w:szCs w:val="20"/>
    </w:rPr>
  </w:style>
  <w:style w:type="paragraph" w:styleId="Inhopg5">
    <w:name w:val="toc 5"/>
    <w:basedOn w:val="Standaard"/>
    <w:next w:val="Standaard"/>
    <w:autoRedefine/>
    <w:uiPriority w:val="39"/>
    <w:unhideWhenUsed/>
    <w:rsid w:val="00697A6F"/>
    <w:pPr>
      <w:ind w:left="760"/>
      <w:jc w:val="left"/>
    </w:pPr>
    <w:rPr>
      <w:rFonts w:asciiTheme="minorHAnsi" w:hAnsiTheme="minorHAnsi" w:cstheme="minorHAnsi"/>
      <w:sz w:val="20"/>
      <w:szCs w:val="20"/>
    </w:rPr>
  </w:style>
  <w:style w:type="paragraph" w:styleId="Inhopg6">
    <w:name w:val="toc 6"/>
    <w:basedOn w:val="Standaard"/>
    <w:next w:val="Standaard"/>
    <w:autoRedefine/>
    <w:uiPriority w:val="39"/>
    <w:unhideWhenUsed/>
    <w:rsid w:val="00697A6F"/>
    <w:pPr>
      <w:ind w:left="950"/>
      <w:jc w:val="left"/>
    </w:pPr>
    <w:rPr>
      <w:rFonts w:asciiTheme="minorHAnsi" w:hAnsiTheme="minorHAnsi" w:cstheme="minorHAnsi"/>
      <w:sz w:val="20"/>
      <w:szCs w:val="20"/>
    </w:rPr>
  </w:style>
  <w:style w:type="paragraph" w:styleId="Inhopg7">
    <w:name w:val="toc 7"/>
    <w:basedOn w:val="Standaard"/>
    <w:next w:val="Standaard"/>
    <w:autoRedefine/>
    <w:uiPriority w:val="39"/>
    <w:unhideWhenUsed/>
    <w:rsid w:val="00697A6F"/>
    <w:pPr>
      <w:ind w:left="1140"/>
      <w:jc w:val="left"/>
    </w:pPr>
    <w:rPr>
      <w:rFonts w:asciiTheme="minorHAnsi" w:hAnsiTheme="minorHAnsi" w:cstheme="minorHAnsi"/>
      <w:sz w:val="20"/>
      <w:szCs w:val="20"/>
    </w:rPr>
  </w:style>
  <w:style w:type="paragraph" w:styleId="Inhopg8">
    <w:name w:val="toc 8"/>
    <w:basedOn w:val="Standaard"/>
    <w:next w:val="Standaard"/>
    <w:autoRedefine/>
    <w:uiPriority w:val="39"/>
    <w:unhideWhenUsed/>
    <w:rsid w:val="00697A6F"/>
    <w:pPr>
      <w:ind w:left="1330"/>
      <w:jc w:val="left"/>
    </w:pPr>
    <w:rPr>
      <w:rFonts w:asciiTheme="minorHAnsi" w:hAnsiTheme="minorHAnsi" w:cstheme="minorHAnsi"/>
      <w:sz w:val="20"/>
      <w:szCs w:val="20"/>
    </w:rPr>
  </w:style>
  <w:style w:type="paragraph" w:styleId="Inhopg9">
    <w:name w:val="toc 9"/>
    <w:basedOn w:val="Standaard"/>
    <w:next w:val="Standaard"/>
    <w:autoRedefine/>
    <w:uiPriority w:val="39"/>
    <w:unhideWhenUsed/>
    <w:rsid w:val="00697A6F"/>
    <w:pPr>
      <w:ind w:left="1520"/>
      <w:jc w:val="left"/>
    </w:pPr>
    <w:rPr>
      <w:rFonts w:asciiTheme="minorHAnsi" w:hAnsiTheme="minorHAnsi" w:cstheme="minorHAnsi"/>
      <w:sz w:val="20"/>
      <w:szCs w:val="20"/>
    </w:rPr>
  </w:style>
  <w:style w:type="paragraph" w:styleId="Koptekst">
    <w:name w:val="header"/>
    <w:basedOn w:val="Standaard"/>
    <w:link w:val="KoptekstChar"/>
    <w:uiPriority w:val="99"/>
    <w:unhideWhenUsed/>
    <w:rsid w:val="00C42BFC"/>
    <w:pPr>
      <w:tabs>
        <w:tab w:val="center" w:pos="4536"/>
        <w:tab w:val="right" w:pos="9072"/>
      </w:tabs>
    </w:pPr>
  </w:style>
  <w:style w:type="character" w:customStyle="1" w:styleId="KoptekstChar">
    <w:name w:val="Koptekst Char"/>
    <w:basedOn w:val="Standaardalinea-lettertype"/>
    <w:link w:val="Koptekst"/>
    <w:uiPriority w:val="99"/>
    <w:rsid w:val="00C42BFC"/>
    <w:rPr>
      <w:rFonts w:ascii="Verdana" w:hAnsi="Verdana"/>
      <w:sz w:val="19"/>
    </w:rPr>
  </w:style>
  <w:style w:type="paragraph" w:styleId="Voettekst">
    <w:name w:val="footer"/>
    <w:basedOn w:val="Standaard"/>
    <w:link w:val="VoettekstChar"/>
    <w:uiPriority w:val="99"/>
    <w:unhideWhenUsed/>
    <w:rsid w:val="00C42BFC"/>
    <w:pPr>
      <w:tabs>
        <w:tab w:val="center" w:pos="4536"/>
        <w:tab w:val="right" w:pos="9072"/>
      </w:tabs>
    </w:pPr>
  </w:style>
  <w:style w:type="character" w:customStyle="1" w:styleId="VoettekstChar">
    <w:name w:val="Voettekst Char"/>
    <w:basedOn w:val="Standaardalinea-lettertype"/>
    <w:link w:val="Voettekst"/>
    <w:uiPriority w:val="99"/>
    <w:rsid w:val="00C42BFC"/>
    <w:rPr>
      <w:rFonts w:ascii="Verdana" w:hAnsi="Verdana"/>
      <w:sz w:val="19"/>
    </w:rPr>
  </w:style>
  <w:style w:type="character" w:styleId="Paginanummer">
    <w:name w:val="page number"/>
    <w:basedOn w:val="Standaardalinea-lettertype"/>
    <w:uiPriority w:val="99"/>
    <w:semiHidden/>
    <w:unhideWhenUsed/>
    <w:rsid w:val="00EE5D88"/>
  </w:style>
  <w:style w:type="paragraph" w:styleId="Lijstalinea">
    <w:name w:val="List Paragraph"/>
    <w:basedOn w:val="Standaard"/>
    <w:uiPriority w:val="34"/>
    <w:qFormat/>
    <w:rsid w:val="001C183C"/>
    <w:pPr>
      <w:ind w:left="720"/>
      <w:contextualSpacing/>
    </w:pPr>
  </w:style>
  <w:style w:type="table" w:styleId="Tabelraster">
    <w:name w:val="Table Grid"/>
    <w:basedOn w:val="Standaardtabel"/>
    <w:uiPriority w:val="39"/>
    <w:rsid w:val="002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Standaard"/>
    <w:link w:val="Tabel1Char"/>
    <w:rsid w:val="00250315"/>
    <w:rPr>
      <w:rFonts w:cs="Calibri"/>
      <w:sz w:val="18"/>
      <w:szCs w:val="18"/>
    </w:rPr>
  </w:style>
  <w:style w:type="character" w:customStyle="1" w:styleId="Tabel1Char">
    <w:name w:val="Tabel 1 Char"/>
    <w:basedOn w:val="Standaardalinea-lettertype"/>
    <w:link w:val="Tabel1"/>
    <w:rsid w:val="00250315"/>
    <w:rPr>
      <w:rFonts w:ascii="Verdana" w:hAnsi="Verdana" w:cs="Calibri"/>
      <w:sz w:val="18"/>
      <w:szCs w:val="18"/>
    </w:rPr>
  </w:style>
  <w:style w:type="character" w:styleId="Onopgelostemelding">
    <w:name w:val="Unresolved Mention"/>
    <w:basedOn w:val="Standaardalinea-lettertype"/>
    <w:uiPriority w:val="99"/>
    <w:semiHidden/>
    <w:unhideWhenUsed/>
    <w:rsid w:val="003B3338"/>
    <w:rPr>
      <w:color w:val="605E5C"/>
      <w:shd w:val="clear" w:color="auto" w:fill="E1DFDD"/>
    </w:rPr>
  </w:style>
  <w:style w:type="paragraph" w:customStyle="1" w:styleId="Tabel10">
    <w:name w:val="Tabel1"/>
    <w:basedOn w:val="Standaard"/>
    <w:link w:val="Tabel1Char0"/>
    <w:qFormat/>
    <w:rsid w:val="005A66AA"/>
    <w:pPr>
      <w:jc w:val="left"/>
    </w:pPr>
    <w:rPr>
      <w:bCs/>
      <w:sz w:val="18"/>
      <w:szCs w:val="18"/>
    </w:rPr>
  </w:style>
  <w:style w:type="character" w:customStyle="1" w:styleId="Tabel1Char0">
    <w:name w:val="Tabel1 Char"/>
    <w:basedOn w:val="Standaardalinea-lettertype"/>
    <w:link w:val="Tabel10"/>
    <w:rsid w:val="005A66AA"/>
    <w:rPr>
      <w:rFonts w:ascii="Verdana" w:hAnsi="Verdana"/>
      <w:bCs/>
      <w:sz w:val="18"/>
      <w:szCs w:val="18"/>
    </w:rPr>
  </w:style>
  <w:style w:type="paragraph" w:styleId="Kopvaninhoudsopgave">
    <w:name w:val="TOC Heading"/>
    <w:basedOn w:val="Kop1"/>
    <w:next w:val="Standaard"/>
    <w:uiPriority w:val="39"/>
    <w:unhideWhenUsed/>
    <w:qFormat/>
    <w:rsid w:val="002D33EC"/>
    <w:pPr>
      <w:numPr>
        <w:numId w:val="0"/>
      </w:numPr>
      <w:spacing w:before="480" w:line="276" w:lineRule="auto"/>
      <w:jc w:val="left"/>
      <w:outlineLvl w:val="9"/>
    </w:pPr>
    <w:rPr>
      <w:rFonts w:asciiTheme="majorHAnsi" w:hAnsiTheme="majorHAnsi"/>
      <w:b/>
      <w:bCs/>
      <w:color w:val="2F5496" w:themeColor="accent1" w:themeShade="BF"/>
      <w:sz w:val="28"/>
      <w:szCs w:val="28"/>
      <w:lang w:eastAsia="nl-NL"/>
    </w:rPr>
  </w:style>
  <w:style w:type="character" w:styleId="Subtielebenadrukking">
    <w:name w:val="Subtle Emphasis"/>
    <w:basedOn w:val="Standaardalinea-lettertype"/>
    <w:uiPriority w:val="19"/>
    <w:qFormat/>
    <w:rsid w:val="00F6792D"/>
    <w:rPr>
      <w:rFonts w:ascii="Montserrat Light" w:hAnsi="Montserrat Light"/>
      <w:b w:val="0"/>
      <w:i w:val="0"/>
      <w:iCs/>
      <w:color w:val="404040" w:themeColor="text1" w:themeTint="BF"/>
    </w:rPr>
  </w:style>
  <w:style w:type="character" w:styleId="Tekstvantijdelijkeaanduiding">
    <w:name w:val="Placeholder Text"/>
    <w:basedOn w:val="Standaardalinea-lettertype"/>
    <w:uiPriority w:val="99"/>
    <w:semiHidden/>
    <w:rsid w:val="004435E4"/>
    <w:rPr>
      <w:color w:val="808080"/>
    </w:rPr>
  </w:style>
  <w:style w:type="character" w:styleId="Verwijzingopmerking">
    <w:name w:val="annotation reference"/>
    <w:basedOn w:val="Standaardalinea-lettertype"/>
    <w:uiPriority w:val="99"/>
    <w:semiHidden/>
    <w:unhideWhenUsed/>
    <w:rsid w:val="0017297A"/>
    <w:rPr>
      <w:sz w:val="16"/>
      <w:szCs w:val="16"/>
    </w:rPr>
  </w:style>
  <w:style w:type="paragraph" w:styleId="Tekstopmerking">
    <w:name w:val="annotation text"/>
    <w:basedOn w:val="Standaard"/>
    <w:link w:val="TekstopmerkingChar"/>
    <w:uiPriority w:val="99"/>
    <w:unhideWhenUsed/>
    <w:rsid w:val="0017297A"/>
    <w:rPr>
      <w:sz w:val="20"/>
      <w:szCs w:val="20"/>
    </w:rPr>
  </w:style>
  <w:style w:type="character" w:customStyle="1" w:styleId="TekstopmerkingChar">
    <w:name w:val="Tekst opmerking Char"/>
    <w:basedOn w:val="Standaardalinea-lettertype"/>
    <w:link w:val="Tekstopmerking"/>
    <w:uiPriority w:val="99"/>
    <w:rsid w:val="0017297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7297A"/>
    <w:rPr>
      <w:b/>
      <w:bCs/>
    </w:rPr>
  </w:style>
  <w:style w:type="character" w:customStyle="1" w:styleId="OnderwerpvanopmerkingChar">
    <w:name w:val="Onderwerp van opmerking Char"/>
    <w:basedOn w:val="TekstopmerkingChar"/>
    <w:link w:val="Onderwerpvanopmerking"/>
    <w:uiPriority w:val="99"/>
    <w:semiHidden/>
    <w:rsid w:val="0017297A"/>
    <w:rPr>
      <w:rFonts w:ascii="Verdana" w:hAnsi="Verdana"/>
      <w:b/>
      <w:bCs/>
      <w:sz w:val="20"/>
      <w:szCs w:val="20"/>
    </w:rPr>
  </w:style>
  <w:style w:type="character" w:styleId="GevolgdeHyperlink">
    <w:name w:val="FollowedHyperlink"/>
    <w:basedOn w:val="Standaardalinea-lettertype"/>
    <w:uiPriority w:val="99"/>
    <w:semiHidden/>
    <w:unhideWhenUsed/>
    <w:rsid w:val="00C35FE9"/>
    <w:rPr>
      <w:color w:val="954F72" w:themeColor="followedHyperlink"/>
      <w:u w:val="single"/>
    </w:rPr>
  </w:style>
  <w:style w:type="character" w:customStyle="1" w:styleId="ui-provider">
    <w:name w:val="ui-provider"/>
    <w:basedOn w:val="Standaardalinea-lettertype"/>
    <w:rsid w:val="00426275"/>
  </w:style>
  <w:style w:type="paragraph" w:customStyle="1" w:styleId="xmsonormal">
    <w:name w:val="x_msonormal"/>
    <w:basedOn w:val="Standaard"/>
    <w:rsid w:val="00AB5148"/>
    <w:pPr>
      <w:spacing w:before="100" w:beforeAutospacing="1" w:after="100" w:afterAutospacing="1"/>
      <w:jc w:val="left"/>
    </w:pPr>
    <w:rPr>
      <w:rFonts w:ascii="Times New Roman" w:eastAsia="Times New Roman" w:hAnsi="Times New Roman" w:cs="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6779">
      <w:bodyDiv w:val="1"/>
      <w:marLeft w:val="0"/>
      <w:marRight w:val="0"/>
      <w:marTop w:val="0"/>
      <w:marBottom w:val="0"/>
      <w:divBdr>
        <w:top w:val="none" w:sz="0" w:space="0" w:color="auto"/>
        <w:left w:val="none" w:sz="0" w:space="0" w:color="auto"/>
        <w:bottom w:val="none" w:sz="0" w:space="0" w:color="auto"/>
        <w:right w:val="none" w:sz="0" w:space="0" w:color="auto"/>
      </w:divBdr>
    </w:div>
    <w:div w:id="177155728">
      <w:bodyDiv w:val="1"/>
      <w:marLeft w:val="0"/>
      <w:marRight w:val="0"/>
      <w:marTop w:val="0"/>
      <w:marBottom w:val="0"/>
      <w:divBdr>
        <w:top w:val="none" w:sz="0" w:space="0" w:color="auto"/>
        <w:left w:val="none" w:sz="0" w:space="0" w:color="auto"/>
        <w:bottom w:val="none" w:sz="0" w:space="0" w:color="auto"/>
        <w:right w:val="none" w:sz="0" w:space="0" w:color="auto"/>
      </w:divBdr>
    </w:div>
    <w:div w:id="339352489">
      <w:bodyDiv w:val="1"/>
      <w:marLeft w:val="0"/>
      <w:marRight w:val="0"/>
      <w:marTop w:val="0"/>
      <w:marBottom w:val="0"/>
      <w:divBdr>
        <w:top w:val="none" w:sz="0" w:space="0" w:color="auto"/>
        <w:left w:val="none" w:sz="0" w:space="0" w:color="auto"/>
        <w:bottom w:val="none" w:sz="0" w:space="0" w:color="auto"/>
        <w:right w:val="none" w:sz="0" w:space="0" w:color="auto"/>
      </w:divBdr>
    </w:div>
    <w:div w:id="361904204">
      <w:bodyDiv w:val="1"/>
      <w:marLeft w:val="0"/>
      <w:marRight w:val="0"/>
      <w:marTop w:val="0"/>
      <w:marBottom w:val="0"/>
      <w:divBdr>
        <w:top w:val="none" w:sz="0" w:space="0" w:color="auto"/>
        <w:left w:val="none" w:sz="0" w:space="0" w:color="auto"/>
        <w:bottom w:val="none" w:sz="0" w:space="0" w:color="auto"/>
        <w:right w:val="none" w:sz="0" w:space="0" w:color="auto"/>
      </w:divBdr>
    </w:div>
    <w:div w:id="392387584">
      <w:bodyDiv w:val="1"/>
      <w:marLeft w:val="0"/>
      <w:marRight w:val="0"/>
      <w:marTop w:val="0"/>
      <w:marBottom w:val="0"/>
      <w:divBdr>
        <w:top w:val="none" w:sz="0" w:space="0" w:color="auto"/>
        <w:left w:val="none" w:sz="0" w:space="0" w:color="auto"/>
        <w:bottom w:val="none" w:sz="0" w:space="0" w:color="auto"/>
        <w:right w:val="none" w:sz="0" w:space="0" w:color="auto"/>
      </w:divBdr>
    </w:div>
    <w:div w:id="556891722">
      <w:bodyDiv w:val="1"/>
      <w:marLeft w:val="0"/>
      <w:marRight w:val="0"/>
      <w:marTop w:val="0"/>
      <w:marBottom w:val="0"/>
      <w:divBdr>
        <w:top w:val="none" w:sz="0" w:space="0" w:color="auto"/>
        <w:left w:val="none" w:sz="0" w:space="0" w:color="auto"/>
        <w:bottom w:val="none" w:sz="0" w:space="0" w:color="auto"/>
        <w:right w:val="none" w:sz="0" w:space="0" w:color="auto"/>
      </w:divBdr>
    </w:div>
    <w:div w:id="631905917">
      <w:bodyDiv w:val="1"/>
      <w:marLeft w:val="0"/>
      <w:marRight w:val="0"/>
      <w:marTop w:val="0"/>
      <w:marBottom w:val="0"/>
      <w:divBdr>
        <w:top w:val="none" w:sz="0" w:space="0" w:color="auto"/>
        <w:left w:val="none" w:sz="0" w:space="0" w:color="auto"/>
        <w:bottom w:val="none" w:sz="0" w:space="0" w:color="auto"/>
        <w:right w:val="none" w:sz="0" w:space="0" w:color="auto"/>
      </w:divBdr>
    </w:div>
    <w:div w:id="699278173">
      <w:bodyDiv w:val="1"/>
      <w:marLeft w:val="0"/>
      <w:marRight w:val="0"/>
      <w:marTop w:val="0"/>
      <w:marBottom w:val="0"/>
      <w:divBdr>
        <w:top w:val="none" w:sz="0" w:space="0" w:color="auto"/>
        <w:left w:val="none" w:sz="0" w:space="0" w:color="auto"/>
        <w:bottom w:val="none" w:sz="0" w:space="0" w:color="auto"/>
        <w:right w:val="none" w:sz="0" w:space="0" w:color="auto"/>
      </w:divBdr>
    </w:div>
    <w:div w:id="707948647">
      <w:bodyDiv w:val="1"/>
      <w:marLeft w:val="0"/>
      <w:marRight w:val="0"/>
      <w:marTop w:val="0"/>
      <w:marBottom w:val="0"/>
      <w:divBdr>
        <w:top w:val="none" w:sz="0" w:space="0" w:color="auto"/>
        <w:left w:val="none" w:sz="0" w:space="0" w:color="auto"/>
        <w:bottom w:val="none" w:sz="0" w:space="0" w:color="auto"/>
        <w:right w:val="none" w:sz="0" w:space="0" w:color="auto"/>
      </w:divBdr>
    </w:div>
    <w:div w:id="937522998">
      <w:bodyDiv w:val="1"/>
      <w:marLeft w:val="0"/>
      <w:marRight w:val="0"/>
      <w:marTop w:val="0"/>
      <w:marBottom w:val="0"/>
      <w:divBdr>
        <w:top w:val="none" w:sz="0" w:space="0" w:color="auto"/>
        <w:left w:val="none" w:sz="0" w:space="0" w:color="auto"/>
        <w:bottom w:val="none" w:sz="0" w:space="0" w:color="auto"/>
        <w:right w:val="none" w:sz="0" w:space="0" w:color="auto"/>
      </w:divBdr>
    </w:div>
    <w:div w:id="949507816">
      <w:bodyDiv w:val="1"/>
      <w:marLeft w:val="0"/>
      <w:marRight w:val="0"/>
      <w:marTop w:val="0"/>
      <w:marBottom w:val="0"/>
      <w:divBdr>
        <w:top w:val="none" w:sz="0" w:space="0" w:color="auto"/>
        <w:left w:val="none" w:sz="0" w:space="0" w:color="auto"/>
        <w:bottom w:val="none" w:sz="0" w:space="0" w:color="auto"/>
        <w:right w:val="none" w:sz="0" w:space="0" w:color="auto"/>
      </w:divBdr>
    </w:div>
    <w:div w:id="996692656">
      <w:bodyDiv w:val="1"/>
      <w:marLeft w:val="0"/>
      <w:marRight w:val="0"/>
      <w:marTop w:val="0"/>
      <w:marBottom w:val="0"/>
      <w:divBdr>
        <w:top w:val="none" w:sz="0" w:space="0" w:color="auto"/>
        <w:left w:val="none" w:sz="0" w:space="0" w:color="auto"/>
        <w:bottom w:val="none" w:sz="0" w:space="0" w:color="auto"/>
        <w:right w:val="none" w:sz="0" w:space="0" w:color="auto"/>
      </w:divBdr>
    </w:div>
    <w:div w:id="1185246484">
      <w:bodyDiv w:val="1"/>
      <w:marLeft w:val="0"/>
      <w:marRight w:val="0"/>
      <w:marTop w:val="0"/>
      <w:marBottom w:val="0"/>
      <w:divBdr>
        <w:top w:val="none" w:sz="0" w:space="0" w:color="auto"/>
        <w:left w:val="none" w:sz="0" w:space="0" w:color="auto"/>
        <w:bottom w:val="none" w:sz="0" w:space="0" w:color="auto"/>
        <w:right w:val="none" w:sz="0" w:space="0" w:color="auto"/>
      </w:divBdr>
    </w:div>
    <w:div w:id="1289749771">
      <w:bodyDiv w:val="1"/>
      <w:marLeft w:val="0"/>
      <w:marRight w:val="0"/>
      <w:marTop w:val="0"/>
      <w:marBottom w:val="0"/>
      <w:divBdr>
        <w:top w:val="none" w:sz="0" w:space="0" w:color="auto"/>
        <w:left w:val="none" w:sz="0" w:space="0" w:color="auto"/>
        <w:bottom w:val="none" w:sz="0" w:space="0" w:color="auto"/>
        <w:right w:val="none" w:sz="0" w:space="0" w:color="auto"/>
      </w:divBdr>
    </w:div>
    <w:div w:id="1380789438">
      <w:bodyDiv w:val="1"/>
      <w:marLeft w:val="0"/>
      <w:marRight w:val="0"/>
      <w:marTop w:val="0"/>
      <w:marBottom w:val="0"/>
      <w:divBdr>
        <w:top w:val="none" w:sz="0" w:space="0" w:color="auto"/>
        <w:left w:val="none" w:sz="0" w:space="0" w:color="auto"/>
        <w:bottom w:val="none" w:sz="0" w:space="0" w:color="auto"/>
        <w:right w:val="none" w:sz="0" w:space="0" w:color="auto"/>
      </w:divBdr>
    </w:div>
    <w:div w:id="1511917801">
      <w:bodyDiv w:val="1"/>
      <w:marLeft w:val="0"/>
      <w:marRight w:val="0"/>
      <w:marTop w:val="0"/>
      <w:marBottom w:val="0"/>
      <w:divBdr>
        <w:top w:val="none" w:sz="0" w:space="0" w:color="auto"/>
        <w:left w:val="none" w:sz="0" w:space="0" w:color="auto"/>
        <w:bottom w:val="none" w:sz="0" w:space="0" w:color="auto"/>
        <w:right w:val="none" w:sz="0" w:space="0" w:color="auto"/>
      </w:divBdr>
    </w:div>
    <w:div w:id="1557399714">
      <w:bodyDiv w:val="1"/>
      <w:marLeft w:val="0"/>
      <w:marRight w:val="0"/>
      <w:marTop w:val="0"/>
      <w:marBottom w:val="0"/>
      <w:divBdr>
        <w:top w:val="none" w:sz="0" w:space="0" w:color="auto"/>
        <w:left w:val="none" w:sz="0" w:space="0" w:color="auto"/>
        <w:bottom w:val="none" w:sz="0" w:space="0" w:color="auto"/>
        <w:right w:val="none" w:sz="0" w:space="0" w:color="auto"/>
      </w:divBdr>
    </w:div>
    <w:div w:id="1653831966">
      <w:bodyDiv w:val="1"/>
      <w:marLeft w:val="0"/>
      <w:marRight w:val="0"/>
      <w:marTop w:val="0"/>
      <w:marBottom w:val="0"/>
      <w:divBdr>
        <w:top w:val="none" w:sz="0" w:space="0" w:color="auto"/>
        <w:left w:val="none" w:sz="0" w:space="0" w:color="auto"/>
        <w:bottom w:val="none" w:sz="0" w:space="0" w:color="auto"/>
        <w:right w:val="none" w:sz="0" w:space="0" w:color="auto"/>
      </w:divBdr>
    </w:div>
    <w:div w:id="1781559532">
      <w:bodyDiv w:val="1"/>
      <w:marLeft w:val="0"/>
      <w:marRight w:val="0"/>
      <w:marTop w:val="0"/>
      <w:marBottom w:val="0"/>
      <w:divBdr>
        <w:top w:val="none" w:sz="0" w:space="0" w:color="auto"/>
        <w:left w:val="none" w:sz="0" w:space="0" w:color="auto"/>
        <w:bottom w:val="none" w:sz="0" w:space="0" w:color="auto"/>
        <w:right w:val="none" w:sz="0" w:space="0" w:color="auto"/>
      </w:divBdr>
    </w:div>
    <w:div w:id="1795172475">
      <w:bodyDiv w:val="1"/>
      <w:marLeft w:val="0"/>
      <w:marRight w:val="0"/>
      <w:marTop w:val="0"/>
      <w:marBottom w:val="0"/>
      <w:divBdr>
        <w:top w:val="none" w:sz="0" w:space="0" w:color="auto"/>
        <w:left w:val="none" w:sz="0" w:space="0" w:color="auto"/>
        <w:bottom w:val="none" w:sz="0" w:space="0" w:color="auto"/>
        <w:right w:val="none" w:sz="0" w:space="0" w:color="auto"/>
      </w:divBdr>
    </w:div>
    <w:div w:id="1805266860">
      <w:bodyDiv w:val="1"/>
      <w:marLeft w:val="0"/>
      <w:marRight w:val="0"/>
      <w:marTop w:val="0"/>
      <w:marBottom w:val="0"/>
      <w:divBdr>
        <w:top w:val="none" w:sz="0" w:space="0" w:color="auto"/>
        <w:left w:val="none" w:sz="0" w:space="0" w:color="auto"/>
        <w:bottom w:val="none" w:sz="0" w:space="0" w:color="auto"/>
        <w:right w:val="none" w:sz="0" w:space="0" w:color="auto"/>
      </w:divBdr>
    </w:div>
    <w:div w:id="1822230850">
      <w:bodyDiv w:val="1"/>
      <w:marLeft w:val="0"/>
      <w:marRight w:val="0"/>
      <w:marTop w:val="0"/>
      <w:marBottom w:val="0"/>
      <w:divBdr>
        <w:top w:val="none" w:sz="0" w:space="0" w:color="auto"/>
        <w:left w:val="none" w:sz="0" w:space="0" w:color="auto"/>
        <w:bottom w:val="none" w:sz="0" w:space="0" w:color="auto"/>
        <w:right w:val="none" w:sz="0" w:space="0" w:color="auto"/>
      </w:divBdr>
    </w:div>
    <w:div w:id="21226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0.emf"/><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image" Target="media/image1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commentsExtended" Target="commentsExtended.xml"/><Relationship Id="rId29" Type="http://schemas.openxmlformats.org/officeDocument/2006/relationships/chart" Target="charts/char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o2emissiefactoren.nl" TargetMode="External"/><Relationship Id="rId32" Type="http://schemas.openxmlformats.org/officeDocument/2006/relationships/chart" Target="charts/chart2.xm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www.co2emissiefactoren.nl" TargetMode="External"/><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microsoft.com/office/2018/08/relationships/commentsExtensible" Target="commentsExtensible.xml"/><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image" Target="media/image1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9.emf"/><Relationship Id="rId33" Type="http://schemas.openxmlformats.org/officeDocument/2006/relationships/chart" Target="charts/chart3.xm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laMekenkamp\De%20Duurzame%20Adviseurs\DDA%20-%20Informatie%20Adviseurs\2.%20CO2\1.%20Formats\1.%20Niveau%203\CO2-verslag.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eduurzameadviseurs.sharepoint.com/sites/CityTec/Gedeelde%20documenten/Algemeen/Auditjaar%202024/CO2-dashboard%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eduurzameadviseurs.sharepoint.com/sites/CityTec/Gedeelde%20documenten/Algemeen/Auditjaar%202024/CO2-dashboard%202024.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https://deduurzameadviseurs.sharepoint.com/sites/CityTec/Gedeelde%20documenten/Algemeen/Auditjaar%202024/Energiebeoordeling%20wagenpark%20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nl-NL" sz="1600" b="1"/>
              <a:t>Voortgang CO2-uitstoot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nl-NL"/>
        </a:p>
      </c:txPr>
    </c:title>
    <c:autoTitleDeleted val="0"/>
    <c:plotArea>
      <c:layout/>
      <c:lineChart>
        <c:grouping val="standard"/>
        <c:varyColors val="0"/>
        <c:ser>
          <c:idx val="5"/>
          <c:order val="0"/>
          <c:tx>
            <c:strRef>
              <c:f>'CO2-voortgang'!$B$38</c:f>
              <c:strCache>
                <c:ptCount val="1"/>
                <c:pt idx="0">
                  <c:v>Absolute voortgang</c:v>
                </c:pt>
              </c:strCache>
            </c:strRef>
          </c:tx>
          <c:spPr>
            <a:ln w="22225" cap="rnd" cmpd="sng" algn="ctr">
              <a:solidFill>
                <a:schemeClr val="accent6"/>
              </a:solidFill>
              <a:round/>
            </a:ln>
            <a:effectLst/>
          </c:spPr>
          <c:marker>
            <c:symbol val="none"/>
          </c:marker>
          <c:cat>
            <c:numRef>
              <c:f>'CO2-voortgang'!$C$36:$J$36</c:f>
              <c:numCache>
                <c:formatCode>0</c:formatCode>
                <c:ptCount val="8"/>
                <c:pt idx="0">
                  <c:v>2017</c:v>
                </c:pt>
                <c:pt idx="1">
                  <c:v>2018</c:v>
                </c:pt>
                <c:pt idx="2">
                  <c:v>2019</c:v>
                </c:pt>
                <c:pt idx="3">
                  <c:v>2020</c:v>
                </c:pt>
                <c:pt idx="4">
                  <c:v>2021</c:v>
                </c:pt>
                <c:pt idx="5">
                  <c:v>2022</c:v>
                </c:pt>
                <c:pt idx="6">
                  <c:v>2023</c:v>
                </c:pt>
                <c:pt idx="7">
                  <c:v>2024</c:v>
                </c:pt>
              </c:numCache>
            </c:numRef>
          </c:cat>
          <c:val>
            <c:numRef>
              <c:f>'CO2-voortgang'!$C$38:$J$38</c:f>
              <c:numCache>
                <c:formatCode>0%</c:formatCode>
                <c:ptCount val="8"/>
                <c:pt idx="0">
                  <c:v>1</c:v>
                </c:pt>
                <c:pt idx="1">
                  <c:v>1.2648819071320136</c:v>
                </c:pt>
                <c:pt idx="2">
                  <c:v>1.0344272662884171</c:v>
                </c:pt>
                <c:pt idx="3">
                  <c:v>0.91308546618813824</c:v>
                </c:pt>
                <c:pt idx="4">
                  <c:v>0.90316513220357175</c:v>
                </c:pt>
                <c:pt idx="5">
                  <c:v>0.8145879346825321</c:v>
                </c:pt>
                <c:pt idx="6">
                  <c:v>0.66764167422192566</c:v>
                </c:pt>
                <c:pt idx="7">
                  <c:v>0.69540052863795065</c:v>
                </c:pt>
              </c:numCache>
            </c:numRef>
          </c:val>
          <c:smooth val="0"/>
          <c:extLst>
            <c:ext xmlns:c16="http://schemas.microsoft.com/office/drawing/2014/chart" uri="{C3380CC4-5D6E-409C-BE32-E72D297353CC}">
              <c16:uniqueId val="{00000000-1FB5-473E-98B0-8D312281AE95}"/>
            </c:ext>
          </c:extLst>
        </c:ser>
        <c:ser>
          <c:idx val="6"/>
          <c:order val="1"/>
          <c:tx>
            <c:strRef>
              <c:f>'CO2-voortgang'!$B$39</c:f>
              <c:strCache>
                <c:ptCount val="1"/>
                <c:pt idx="0">
                  <c:v>Verwachting doelstelling</c:v>
                </c:pt>
              </c:strCache>
            </c:strRef>
          </c:tx>
          <c:spPr>
            <a:ln w="22225" cap="rnd" cmpd="sng" algn="ctr">
              <a:solidFill>
                <a:schemeClr val="accent1">
                  <a:lumMod val="60000"/>
                </a:schemeClr>
              </a:solidFill>
              <a:round/>
            </a:ln>
            <a:effectLst/>
          </c:spPr>
          <c:marker>
            <c:symbol val="none"/>
          </c:marker>
          <c:cat>
            <c:numRef>
              <c:f>'CO2-voortgang'!$C$36:$J$36</c:f>
              <c:numCache>
                <c:formatCode>0</c:formatCode>
                <c:ptCount val="8"/>
                <c:pt idx="0">
                  <c:v>2017</c:v>
                </c:pt>
                <c:pt idx="1">
                  <c:v>2018</c:v>
                </c:pt>
                <c:pt idx="2">
                  <c:v>2019</c:v>
                </c:pt>
                <c:pt idx="3">
                  <c:v>2020</c:v>
                </c:pt>
                <c:pt idx="4">
                  <c:v>2021</c:v>
                </c:pt>
                <c:pt idx="5">
                  <c:v>2022</c:v>
                </c:pt>
                <c:pt idx="6">
                  <c:v>2023</c:v>
                </c:pt>
                <c:pt idx="7">
                  <c:v>2024</c:v>
                </c:pt>
              </c:numCache>
            </c:numRef>
          </c:cat>
          <c:val>
            <c:numRef>
              <c:f>'CO2-voortgang'!$C$39:$J$39</c:f>
              <c:numCache>
                <c:formatCode>0%</c:formatCode>
                <c:ptCount val="8"/>
                <c:pt idx="0">
                  <c:v>1</c:v>
                </c:pt>
                <c:pt idx="1">
                  <c:v>0.95</c:v>
                </c:pt>
                <c:pt idx="2">
                  <c:v>0.9</c:v>
                </c:pt>
                <c:pt idx="3">
                  <c:v>0.85</c:v>
                </c:pt>
                <c:pt idx="4">
                  <c:v>0.8</c:v>
                </c:pt>
                <c:pt idx="5">
                  <c:v>0.75</c:v>
                </c:pt>
                <c:pt idx="6">
                  <c:v>0.7</c:v>
                </c:pt>
                <c:pt idx="7">
                  <c:v>0.65</c:v>
                </c:pt>
              </c:numCache>
            </c:numRef>
          </c:val>
          <c:smooth val="0"/>
          <c:extLst>
            <c:ext xmlns:c16="http://schemas.microsoft.com/office/drawing/2014/chart" uri="{C3380CC4-5D6E-409C-BE32-E72D297353CC}">
              <c16:uniqueId val="{00000001-1FB5-473E-98B0-8D312281AE95}"/>
            </c:ext>
          </c:extLst>
        </c:ser>
        <c:ser>
          <c:idx val="7"/>
          <c:order val="2"/>
          <c:tx>
            <c:strRef>
              <c:f>'CO2-voortgang'!$B$42</c:f>
              <c:strCache>
                <c:ptCount val="1"/>
                <c:pt idx="0">
                  <c:v>Relatieve voortgang omzet</c:v>
                </c:pt>
              </c:strCache>
            </c:strRef>
          </c:tx>
          <c:spPr>
            <a:ln w="22225" cap="rnd" cmpd="sng" algn="ctr">
              <a:solidFill>
                <a:schemeClr val="accent2">
                  <a:lumMod val="60000"/>
                </a:schemeClr>
              </a:solidFill>
              <a:round/>
            </a:ln>
            <a:effectLst/>
          </c:spPr>
          <c:marker>
            <c:symbol val="none"/>
          </c:marker>
          <c:cat>
            <c:numRef>
              <c:f>'CO2-voortgang'!$C$36:$J$36</c:f>
              <c:numCache>
                <c:formatCode>0</c:formatCode>
                <c:ptCount val="8"/>
                <c:pt idx="0">
                  <c:v>2017</c:v>
                </c:pt>
                <c:pt idx="1">
                  <c:v>2018</c:v>
                </c:pt>
                <c:pt idx="2">
                  <c:v>2019</c:v>
                </c:pt>
                <c:pt idx="3">
                  <c:v>2020</c:v>
                </c:pt>
                <c:pt idx="4">
                  <c:v>2021</c:v>
                </c:pt>
                <c:pt idx="5">
                  <c:v>2022</c:v>
                </c:pt>
                <c:pt idx="6">
                  <c:v>2023</c:v>
                </c:pt>
                <c:pt idx="7">
                  <c:v>2024</c:v>
                </c:pt>
              </c:numCache>
            </c:numRef>
          </c:cat>
          <c:val>
            <c:numRef>
              <c:f>'CO2-voortgang'!$C$42:$J$42</c:f>
              <c:numCache>
                <c:formatCode>0%</c:formatCode>
                <c:ptCount val="8"/>
                <c:pt idx="0">
                  <c:v>1</c:v>
                </c:pt>
                <c:pt idx="1">
                  <c:v>1.0500070472514438</c:v>
                </c:pt>
                <c:pt idx="2">
                  <c:v>0.92338705126310672</c:v>
                </c:pt>
                <c:pt idx="3">
                  <c:v>0.82125713657149435</c:v>
                </c:pt>
                <c:pt idx="4">
                  <c:v>0.84772331220691688</c:v>
                </c:pt>
                <c:pt idx="5">
                  <c:v>0.89911205532675154</c:v>
                </c:pt>
                <c:pt idx="6">
                  <c:v>0.67919078332230054</c:v>
                </c:pt>
                <c:pt idx="7">
                  <c:v>0.62784733442740681</c:v>
                </c:pt>
              </c:numCache>
            </c:numRef>
          </c:val>
          <c:smooth val="0"/>
          <c:extLst>
            <c:ext xmlns:c16="http://schemas.microsoft.com/office/drawing/2014/chart" uri="{C3380CC4-5D6E-409C-BE32-E72D297353CC}">
              <c16:uniqueId val="{00000002-1FB5-473E-98B0-8D312281AE95}"/>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3817776"/>
        <c:axId val="413823536"/>
        <c:extLst>
          <c:ext xmlns:c15="http://schemas.microsoft.com/office/drawing/2012/chart" uri="{02D57815-91ED-43cb-92C2-25804820EDAC}">
            <c15:filteredLineSeries>
              <c15:ser>
                <c:idx val="8"/>
                <c:order val="3"/>
                <c:tx>
                  <c:strRef>
                    <c:extLst>
                      <c:ext uri="{02D57815-91ED-43cb-92C2-25804820EDAC}">
                        <c15:formulaRef>
                          <c15:sqref>'CO2-voortgang'!$B$45</c15:sqref>
                        </c15:formulaRef>
                      </c:ext>
                    </c:extLst>
                    <c:strCache>
                      <c:ptCount val="1"/>
                      <c:pt idx="0">
                        <c:v>Relatieve voortgang FTE</c:v>
                      </c:pt>
                    </c:strCache>
                  </c:strRef>
                </c:tx>
                <c:spPr>
                  <a:ln w="22225" cap="rnd" cmpd="sng" algn="ctr">
                    <a:solidFill>
                      <a:schemeClr val="accent3">
                        <a:lumMod val="60000"/>
                      </a:schemeClr>
                    </a:solidFill>
                    <a:round/>
                  </a:ln>
                  <a:effectLst/>
                </c:spPr>
                <c:marker>
                  <c:symbol val="none"/>
                </c:marker>
                <c:val>
                  <c:numRef>
                    <c:extLst>
                      <c:ext uri="{02D57815-91ED-43cb-92C2-25804820EDAC}">
                        <c15:formulaRef>
                          <c15:sqref>'CO2-voortgang'!$C$45:$J$45</c15:sqref>
                        </c15:formulaRef>
                      </c:ext>
                    </c:extLst>
                    <c:numCache>
                      <c:formatCode>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3-1FB5-473E-98B0-8D312281AE95}"/>
                  </c:ext>
                </c:extLst>
              </c15:ser>
            </c15:filteredLineSeries>
            <c15:filteredLineSeries>
              <c15:ser>
                <c:idx val="9"/>
                <c:order val="4"/>
                <c:tx>
                  <c:strRef>
                    <c:extLst xmlns:c15="http://schemas.microsoft.com/office/drawing/2012/chart">
                      <c:ext xmlns:c15="http://schemas.microsoft.com/office/drawing/2012/chart" uri="{02D57815-91ED-43cb-92C2-25804820EDAC}">
                        <c15:formulaRef>
                          <c15:sqref>'CO2-voortgang'!$B$54</c15:sqref>
                        </c15:formulaRef>
                      </c:ext>
                    </c:extLst>
                    <c:strCache>
                      <c:ptCount val="1"/>
                      <c:pt idx="0">
                        <c:v>Voortgang bt</c:v>
                      </c:pt>
                    </c:strCache>
                  </c:strRef>
                </c:tx>
                <c:spPr>
                  <a:ln w="22225" cap="rnd" cmpd="sng" algn="ctr">
                    <a:solidFill>
                      <a:schemeClr val="accent4">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'CO2-voortgang'!$C$54:$J$54</c15:sqref>
                        </c15:formulaRef>
                      </c:ext>
                    </c:extLst>
                    <c:numCache>
                      <c:formatCode>0%</c:formatCode>
                      <c:ptCount val="8"/>
                      <c:pt idx="0">
                        <c:v>1</c:v>
                      </c:pt>
                      <c:pt idx="1">
                        <c:v>0.85961557664064536</c:v>
                      </c:pt>
                      <c:pt idx="2">
                        <c:v>0.52744826054821348</c:v>
                      </c:pt>
                      <c:pt idx="3">
                        <c:v>0.56676766997531514</c:v>
                      </c:pt>
                      <c:pt idx="4">
                        <c:v>0.63004951738733539</c:v>
                      </c:pt>
                      <c:pt idx="5">
                        <c:v>1.0638648221257867</c:v>
                      </c:pt>
                      <c:pt idx="6">
                        <c:v>0.60544033307501743</c:v>
                      </c:pt>
                      <c:pt idx="7">
                        <c:v>0.23132441549531754</c:v>
                      </c:pt>
                    </c:numCache>
                  </c:numRef>
                </c:val>
                <c:smooth val="0"/>
                <c:extLst xmlns:c15="http://schemas.microsoft.com/office/drawing/2012/chart">
                  <c:ext xmlns:c16="http://schemas.microsoft.com/office/drawing/2014/chart" uri="{C3380CC4-5D6E-409C-BE32-E72D297353CC}">
                    <c16:uniqueId val="{00000004-1FB5-473E-98B0-8D312281AE95}"/>
                  </c:ext>
                </c:extLst>
              </c15:ser>
            </c15:filteredLineSeries>
            <c15:filteredLineSeries>
              <c15:ser>
                <c:idx val="1"/>
                <c:order val="5"/>
                <c:tx>
                  <c:strRef>
                    <c:extLst xmlns:c15="http://schemas.microsoft.com/office/drawing/2012/chart">
                      <c:ext xmlns:c15="http://schemas.microsoft.com/office/drawing/2012/chart" uri="{02D57815-91ED-43cb-92C2-25804820EDAC}">
                        <c15:formulaRef>
                          <c15:sqref>'CO2-voortgang'!$B$38</c15:sqref>
                        </c15:formulaRef>
                      </c:ext>
                    </c:extLst>
                    <c:strCache>
                      <c:ptCount val="1"/>
                      <c:pt idx="0">
                        <c:v>Absolute voortgang</c:v>
                      </c:pt>
                    </c:strCache>
                  </c:strRef>
                </c:tx>
                <c:spPr>
                  <a:ln w="22225" cap="rnd" cmpd="sng" algn="ctr">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'CO2-voortgang'!$C$36:$J$36</c15:sqref>
                        </c15:formulaRef>
                      </c:ext>
                    </c:extLst>
                    <c:numCache>
                      <c:formatCode>0</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'CO2-voortgang'!$C$38:$J$38</c15:sqref>
                        </c15:formulaRef>
                      </c:ext>
                    </c:extLst>
                    <c:numCache>
                      <c:formatCode>0%</c:formatCode>
                      <c:ptCount val="8"/>
                      <c:pt idx="0">
                        <c:v>1</c:v>
                      </c:pt>
                      <c:pt idx="1">
                        <c:v>1.2648819071320136</c:v>
                      </c:pt>
                      <c:pt idx="2">
                        <c:v>1.0344272662884171</c:v>
                      </c:pt>
                      <c:pt idx="3">
                        <c:v>0.91308546618813824</c:v>
                      </c:pt>
                      <c:pt idx="4">
                        <c:v>0.90316513220357175</c:v>
                      </c:pt>
                      <c:pt idx="5">
                        <c:v>0.8145879346825321</c:v>
                      </c:pt>
                      <c:pt idx="6">
                        <c:v>0.66764167422192566</c:v>
                      </c:pt>
                      <c:pt idx="7">
                        <c:v>0.69540052863795065</c:v>
                      </c:pt>
                    </c:numCache>
                  </c:numRef>
                </c:val>
                <c:smooth val="0"/>
                <c:extLst xmlns:c15="http://schemas.microsoft.com/office/drawing/2012/chart">
                  <c:ext xmlns:c16="http://schemas.microsoft.com/office/drawing/2014/chart" uri="{C3380CC4-5D6E-409C-BE32-E72D297353CC}">
                    <c16:uniqueId val="{00000005-1FB5-473E-98B0-8D312281AE95}"/>
                  </c:ext>
                </c:extLst>
              </c15:ser>
            </c15:filteredLineSeries>
            <c15:filteredLineSeries>
              <c15:ser>
                <c:idx val="2"/>
                <c:order val="6"/>
                <c:tx>
                  <c:strRef>
                    <c:extLst xmlns:c15="http://schemas.microsoft.com/office/drawing/2012/chart">
                      <c:ext xmlns:c15="http://schemas.microsoft.com/office/drawing/2012/chart" uri="{02D57815-91ED-43cb-92C2-25804820EDAC}">
                        <c15:formulaRef>
                          <c15:sqref>'CO2-voortgang'!$B$39</c15:sqref>
                        </c15:formulaRef>
                      </c:ext>
                    </c:extLst>
                    <c:strCache>
                      <c:ptCount val="1"/>
                      <c:pt idx="0">
                        <c:v>Verwachting doelstelling</c:v>
                      </c:pt>
                    </c:strCache>
                  </c:strRef>
                </c:tx>
                <c:spPr>
                  <a:ln w="22225" cap="rnd" cmpd="sng" algn="ctr">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'CO2-voortgang'!$C$36:$J$36</c15:sqref>
                        </c15:formulaRef>
                      </c:ext>
                    </c:extLst>
                    <c:numCache>
                      <c:formatCode>0</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'CO2-voortgang'!$C$39:$J$39</c15:sqref>
                        </c15:formulaRef>
                      </c:ext>
                    </c:extLst>
                    <c:numCache>
                      <c:formatCode>0%</c:formatCode>
                      <c:ptCount val="8"/>
                      <c:pt idx="0">
                        <c:v>1</c:v>
                      </c:pt>
                      <c:pt idx="1">
                        <c:v>0.95</c:v>
                      </c:pt>
                      <c:pt idx="2">
                        <c:v>0.9</c:v>
                      </c:pt>
                      <c:pt idx="3">
                        <c:v>0.85</c:v>
                      </c:pt>
                      <c:pt idx="4">
                        <c:v>0.8</c:v>
                      </c:pt>
                      <c:pt idx="5">
                        <c:v>0.75</c:v>
                      </c:pt>
                      <c:pt idx="6">
                        <c:v>0.7</c:v>
                      </c:pt>
                      <c:pt idx="7">
                        <c:v>0.65</c:v>
                      </c:pt>
                    </c:numCache>
                  </c:numRef>
                </c:val>
                <c:smooth val="0"/>
                <c:extLst xmlns:c15="http://schemas.microsoft.com/office/drawing/2012/chart">
                  <c:ext xmlns:c16="http://schemas.microsoft.com/office/drawing/2014/chart" uri="{C3380CC4-5D6E-409C-BE32-E72D297353CC}">
                    <c16:uniqueId val="{00000006-1FB5-473E-98B0-8D312281AE95}"/>
                  </c:ext>
                </c:extLst>
              </c15:ser>
            </c15:filteredLineSeries>
            <c15:filteredLineSeries>
              <c15:ser>
                <c:idx val="0"/>
                <c:order val="7"/>
                <c:tx>
                  <c:strRef>
                    <c:extLst xmlns:c15="http://schemas.microsoft.com/office/drawing/2012/chart">
                      <c:ext xmlns:c15="http://schemas.microsoft.com/office/drawing/2012/chart" uri="{02D57815-91ED-43cb-92C2-25804820EDAC}">
                        <c15:formulaRef>
                          <c15:sqref>'CO2-voortgang'!$B$42</c15:sqref>
                        </c15:formulaRef>
                      </c:ext>
                    </c:extLst>
                    <c:strCache>
                      <c:ptCount val="1"/>
                      <c:pt idx="0">
                        <c:v>Relatieve voortgang omzet</c:v>
                      </c:pt>
                    </c:strCache>
                  </c:strRef>
                </c:tx>
                <c:spPr>
                  <a:ln w="22225" cap="rnd" cmpd="sng" algn="ctr">
                    <a:solidFill>
                      <a:schemeClr val="accent1"/>
                    </a:solidFill>
                    <a:round/>
                  </a:ln>
                  <a:effectLst/>
                </c:spPr>
                <c:marker>
                  <c:symbol val="none"/>
                </c:marker>
                <c:cat>
                  <c:numRef>
                    <c:extLst xmlns:c15="http://schemas.microsoft.com/office/drawing/2012/chart">
                      <c:ext xmlns:c15="http://schemas.microsoft.com/office/drawing/2012/chart" uri="{02D57815-91ED-43cb-92C2-25804820EDAC}">
                        <c15:formulaRef>
                          <c15:sqref>'CO2-voortgang'!$C$36:$J$36</c15:sqref>
                        </c15:formulaRef>
                      </c:ext>
                    </c:extLst>
                    <c:numCache>
                      <c:formatCode>0</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'CO2-voortgang'!$C$42:$J$42</c15:sqref>
                        </c15:formulaRef>
                      </c:ext>
                    </c:extLst>
                    <c:numCache>
                      <c:formatCode>0%</c:formatCode>
                      <c:ptCount val="8"/>
                      <c:pt idx="0">
                        <c:v>1</c:v>
                      </c:pt>
                      <c:pt idx="1">
                        <c:v>1.0500070472514438</c:v>
                      </c:pt>
                      <c:pt idx="2">
                        <c:v>0.92338705126310672</c:v>
                      </c:pt>
                      <c:pt idx="3">
                        <c:v>0.82125713657149435</c:v>
                      </c:pt>
                      <c:pt idx="4">
                        <c:v>0.84772331220691688</c:v>
                      </c:pt>
                      <c:pt idx="5">
                        <c:v>0.89911205532675154</c:v>
                      </c:pt>
                      <c:pt idx="6">
                        <c:v>0.67919078332230054</c:v>
                      </c:pt>
                      <c:pt idx="7">
                        <c:v>0.62784733442740681</c:v>
                      </c:pt>
                    </c:numCache>
                  </c:numRef>
                </c:val>
                <c:smooth val="0"/>
                <c:extLst xmlns:c15="http://schemas.microsoft.com/office/drawing/2012/chart">
                  <c:ext xmlns:c16="http://schemas.microsoft.com/office/drawing/2014/chart" uri="{C3380CC4-5D6E-409C-BE32-E72D297353CC}">
                    <c16:uniqueId val="{00000007-1FB5-473E-98B0-8D312281AE95}"/>
                  </c:ext>
                </c:extLst>
              </c15:ser>
            </c15:filteredLineSeries>
            <c15:filteredLineSeries>
              <c15:ser>
                <c:idx val="3"/>
                <c:order val="8"/>
                <c:tx>
                  <c:strRef>
                    <c:extLst xmlns:c15="http://schemas.microsoft.com/office/drawing/2012/chart">
                      <c:ext xmlns:c15="http://schemas.microsoft.com/office/drawing/2012/chart" uri="{02D57815-91ED-43cb-92C2-25804820EDAC}">
                        <c15:formulaRef>
                          <c15:sqref>'CO2-voortgang'!$B$45</c15:sqref>
                        </c15:formulaRef>
                      </c:ext>
                    </c:extLst>
                    <c:strCache>
                      <c:ptCount val="1"/>
                      <c:pt idx="0">
                        <c:v>Relatieve voortgang FTE</c:v>
                      </c:pt>
                    </c:strCache>
                  </c:strRef>
                </c:tx>
                <c:spPr>
                  <a:ln w="22225" cap="rnd" cmpd="sng" algn="ctr">
                    <a:solidFill>
                      <a:schemeClr val="accent4"/>
                    </a:solidFill>
                    <a:round/>
                  </a:ln>
                  <a:effectLst/>
                </c:spPr>
                <c:marker>
                  <c:symbol val="none"/>
                </c:marker>
                <c:val>
                  <c:numRef>
                    <c:extLst xmlns:c15="http://schemas.microsoft.com/office/drawing/2012/chart">
                      <c:ext xmlns:c15="http://schemas.microsoft.com/office/drawing/2012/chart" uri="{02D57815-91ED-43cb-92C2-25804820EDAC}">
                        <c15:formulaRef>
                          <c15:sqref>'CO2-voortgang'!$C$45:$J$45</c15:sqref>
                        </c15:formulaRef>
                      </c:ext>
                    </c:extLst>
                    <c:numCache>
                      <c:formatCode>0%</c:formatCode>
                      <c:ptCount val="8"/>
                      <c:pt idx="0">
                        <c:v>0</c:v>
                      </c:pt>
                      <c:pt idx="1">
                        <c:v>0</c:v>
                      </c:pt>
                      <c:pt idx="2">
                        <c:v>0</c:v>
                      </c:pt>
                      <c:pt idx="3">
                        <c:v>0</c:v>
                      </c:pt>
                      <c:pt idx="4">
                        <c:v>0</c:v>
                      </c:pt>
                      <c:pt idx="5">
                        <c:v>0</c:v>
                      </c:pt>
                      <c:pt idx="6">
                        <c:v>0</c:v>
                      </c:pt>
                      <c:pt idx="7">
                        <c:v>0</c:v>
                      </c:pt>
                    </c:numCache>
                  </c:numRef>
                </c:val>
                <c:smooth val="0"/>
                <c:extLst xmlns:c15="http://schemas.microsoft.com/office/drawing/2012/chart">
                  <c:ext xmlns:c16="http://schemas.microsoft.com/office/drawing/2014/chart" uri="{C3380CC4-5D6E-409C-BE32-E72D297353CC}">
                    <c16:uniqueId val="{00000008-1FB5-473E-98B0-8D312281AE95}"/>
                  </c:ext>
                </c:extLst>
              </c15:ser>
            </c15:filteredLineSeries>
            <c15:filteredLineSeries>
              <c15:ser>
                <c:idx val="4"/>
                <c:order val="9"/>
                <c:tx>
                  <c:strRef>
                    <c:extLst xmlns:c15="http://schemas.microsoft.com/office/drawing/2012/chart">
                      <c:ext xmlns:c15="http://schemas.microsoft.com/office/drawing/2012/chart" uri="{02D57815-91ED-43cb-92C2-25804820EDAC}">
                        <c15:formulaRef>
                          <c15:sqref>'CO2-voortgang'!$B$54</c15:sqref>
                        </c15:formulaRef>
                      </c:ext>
                    </c:extLst>
                    <c:strCache>
                      <c:ptCount val="1"/>
                      <c:pt idx="0">
                        <c:v>Voortgang bt</c:v>
                      </c:pt>
                    </c:strCache>
                  </c:strRef>
                </c:tx>
                <c:spPr>
                  <a:ln w="22225" cap="rnd" cmpd="sng" algn="ctr">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'CO2-voortgang'!$C$54:$J$54</c15:sqref>
                        </c15:formulaRef>
                      </c:ext>
                    </c:extLst>
                    <c:numCache>
                      <c:formatCode>0%</c:formatCode>
                      <c:ptCount val="8"/>
                      <c:pt idx="0">
                        <c:v>1</c:v>
                      </c:pt>
                      <c:pt idx="1">
                        <c:v>0.85961557664064536</c:v>
                      </c:pt>
                      <c:pt idx="2">
                        <c:v>0.52744826054821348</c:v>
                      </c:pt>
                      <c:pt idx="3">
                        <c:v>0.56676766997531514</c:v>
                      </c:pt>
                      <c:pt idx="4">
                        <c:v>0.63004951738733539</c:v>
                      </c:pt>
                      <c:pt idx="5">
                        <c:v>1.0638648221257867</c:v>
                      </c:pt>
                      <c:pt idx="6">
                        <c:v>0.60544033307501743</c:v>
                      </c:pt>
                      <c:pt idx="7">
                        <c:v>0.23132441549531754</c:v>
                      </c:pt>
                    </c:numCache>
                  </c:numRef>
                </c:val>
                <c:smooth val="0"/>
                <c:extLst xmlns:c15="http://schemas.microsoft.com/office/drawing/2012/chart">
                  <c:ext xmlns:c16="http://schemas.microsoft.com/office/drawing/2014/chart" uri="{C3380CC4-5D6E-409C-BE32-E72D297353CC}">
                    <c16:uniqueId val="{00000009-1FB5-473E-98B0-8D312281AE95}"/>
                  </c:ext>
                </c:extLst>
              </c15:ser>
            </c15:filteredLineSeries>
          </c:ext>
        </c:extLst>
      </c:lineChart>
      <c:catAx>
        <c:axId val="413817776"/>
        <c:scaling>
          <c:orientation val="minMax"/>
        </c:scaling>
        <c:delete val="0"/>
        <c:axPos val="b"/>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nl-NL"/>
          </a:p>
        </c:txPr>
        <c:crossAx val="413823536"/>
        <c:crosses val="autoZero"/>
        <c:auto val="1"/>
        <c:lblAlgn val="ctr"/>
        <c:lblOffset val="100"/>
        <c:noMultiLvlLbl val="0"/>
      </c:catAx>
      <c:valAx>
        <c:axId val="4138235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nl-NL"/>
          </a:p>
        </c:txPr>
        <c:crossAx val="413817776"/>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nl-NL"/>
        </a:p>
      </c:txPr>
    </c:legend>
    <c:plotVisOnly val="1"/>
    <c:dispBlanksAs val="gap"/>
    <c:showDLblsOverMax val="0"/>
    <c:extLst/>
  </c:chart>
  <c:spPr>
    <a:solidFill>
      <a:schemeClr val="lt1"/>
    </a:solidFill>
    <a:ln w="9525" cap="flat" cmpd="sng" algn="ctr">
      <a:solidFill>
        <a:schemeClr val="dk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nl-NL">
                <a:solidFill>
                  <a:srgbClr val="6BBC93"/>
                </a:solidFill>
              </a:rPr>
              <a:t>Figuur E1</a:t>
            </a:r>
            <a:r>
              <a:rPr lang="nl-NL">
                <a:solidFill>
                  <a:srgbClr val="61B57D"/>
                </a:solidFill>
              </a:rPr>
              <a:t>. </a:t>
            </a:r>
            <a:r>
              <a:rPr lang="nl-NL">
                <a:solidFill>
                  <a:srgbClr val="7F7F7F"/>
                </a:solidFill>
              </a:rPr>
              <a:t>Energieverbruik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nl-NL"/>
        </a:p>
      </c:txPr>
    </c:title>
    <c:autoTitleDeleted val="0"/>
    <c:plotArea>
      <c:layout>
        <c:manualLayout>
          <c:layoutTarget val="inner"/>
          <c:xMode val="edge"/>
          <c:yMode val="edge"/>
          <c:x val="0.19209965660767225"/>
          <c:y val="0.1871146106736658"/>
          <c:w val="0.35673526420708201"/>
          <c:h val="0.74645895069567914"/>
        </c:manualLayout>
      </c:layout>
      <c:doughnutChart>
        <c:varyColors val="1"/>
        <c:ser>
          <c:idx val="0"/>
          <c:order val="0"/>
          <c:dPt>
            <c:idx val="0"/>
            <c:bubble3D val="0"/>
            <c:spPr>
              <a:solidFill>
                <a:schemeClr val="accent6">
                  <a:tint val="58000"/>
                </a:schemeClr>
              </a:solidFill>
              <a:ln>
                <a:noFill/>
              </a:ln>
              <a:effectLst/>
            </c:spPr>
            <c:extLst>
              <c:ext xmlns:c16="http://schemas.microsoft.com/office/drawing/2014/chart" uri="{C3380CC4-5D6E-409C-BE32-E72D297353CC}">
                <c16:uniqueId val="{00000001-86E1-49D6-AF03-D70C71038D7E}"/>
              </c:ext>
            </c:extLst>
          </c:dPt>
          <c:dPt>
            <c:idx val="1"/>
            <c:bubble3D val="0"/>
            <c:spPr>
              <a:solidFill>
                <a:schemeClr val="accent6">
                  <a:tint val="86000"/>
                </a:schemeClr>
              </a:solidFill>
              <a:ln>
                <a:noFill/>
              </a:ln>
              <a:effectLst/>
            </c:spPr>
            <c:extLst>
              <c:ext xmlns:c16="http://schemas.microsoft.com/office/drawing/2014/chart" uri="{C3380CC4-5D6E-409C-BE32-E72D297353CC}">
                <c16:uniqueId val="{00000003-86E1-49D6-AF03-D70C71038D7E}"/>
              </c:ext>
            </c:extLst>
          </c:dPt>
          <c:dPt>
            <c:idx val="2"/>
            <c:bubble3D val="0"/>
            <c:spPr>
              <a:solidFill>
                <a:schemeClr val="accent6">
                  <a:shade val="86000"/>
                </a:schemeClr>
              </a:solidFill>
              <a:ln>
                <a:noFill/>
              </a:ln>
              <a:effectLst/>
            </c:spPr>
            <c:extLst>
              <c:ext xmlns:c16="http://schemas.microsoft.com/office/drawing/2014/chart" uri="{C3380CC4-5D6E-409C-BE32-E72D297353CC}">
                <c16:uniqueId val="{00000005-86E1-49D6-AF03-D70C71038D7E}"/>
              </c:ext>
            </c:extLst>
          </c:dPt>
          <c:dPt>
            <c:idx val="3"/>
            <c:bubble3D val="0"/>
            <c:spPr>
              <a:solidFill>
                <a:schemeClr val="accent6">
                  <a:shade val="58000"/>
                </a:schemeClr>
              </a:solidFill>
              <a:ln>
                <a:noFill/>
              </a:ln>
              <a:effectLst/>
            </c:spPr>
            <c:extLst>
              <c:ext xmlns:c16="http://schemas.microsoft.com/office/drawing/2014/chart" uri="{C3380CC4-5D6E-409C-BE32-E72D297353CC}">
                <c16:uniqueId val="{00000007-86E1-49D6-AF03-D70C71038D7E}"/>
              </c:ext>
            </c:extLst>
          </c:dPt>
          <c:dPt>
            <c:idx val="4"/>
            <c:bubble3D val="0"/>
            <c:spPr>
              <a:solidFill>
                <a:schemeClr val="accent6">
                  <a:shade val="58000"/>
                </a:schemeClr>
              </a:solidFill>
              <a:ln>
                <a:noFill/>
              </a:ln>
              <a:effectLst/>
            </c:spPr>
            <c:extLst>
              <c:ext xmlns:c16="http://schemas.microsoft.com/office/drawing/2014/chart" uri="{C3380CC4-5D6E-409C-BE32-E72D297353CC}">
                <c16:uniqueId val="{00000009-86E1-49D6-AF03-D70C71038D7E}"/>
              </c:ext>
            </c:extLst>
          </c:dPt>
          <c:dPt>
            <c:idx val="5"/>
            <c:bubble3D val="0"/>
            <c:spPr>
              <a:solidFill>
                <a:schemeClr val="accent6">
                  <a:shade val="58000"/>
                </a:schemeClr>
              </a:solidFill>
              <a:ln>
                <a:noFill/>
              </a:ln>
              <a:effectLst/>
            </c:spPr>
            <c:extLst>
              <c:ext xmlns:c16="http://schemas.microsoft.com/office/drawing/2014/chart" uri="{C3380CC4-5D6E-409C-BE32-E72D297353CC}">
                <c16:uniqueId val="{0000000B-86E1-49D6-AF03-D70C71038D7E}"/>
              </c:ext>
            </c:extLst>
          </c:dPt>
          <c:dLbls>
            <c:dLbl>
              <c:idx val="2"/>
              <c:layout>
                <c:manualLayout>
                  <c:x val="1.3321748656784378E-3"/>
                  <c:y val="-3.426791347306879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6E1-49D6-AF03-D70C71038D7E}"/>
                </c:ext>
              </c:extLst>
            </c:dLbl>
            <c:dLbl>
              <c:idx val="3"/>
              <c:layout>
                <c:manualLayout>
                  <c:x val="7.9930491940708708E-3"/>
                  <c:y val="3.71235729291578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6E1-49D6-AF03-D70C71038D7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Verdana" panose="020B0604030504040204" pitchFamily="34" charset="0"/>
                    <a:ea typeface="Verdana" panose="020B0604030504040204" pitchFamily="34" charset="0"/>
                    <a:cs typeface="Verdana" panose="020B0604030504040204" pitchFamily="34" charset="0"/>
                  </a:defRPr>
                </a:pPr>
                <a:endParaRPr lang="nl-NL"/>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('Omrekening naar GJ'!$B$31,'Omrekening naar GJ'!$B$33:$B$35)</c:f>
              <c:strCache>
                <c:ptCount val="4"/>
                <c:pt idx="0">
                  <c:v>Aardgasverbruik</c:v>
                </c:pt>
                <c:pt idx="1">
                  <c:v>Brandstofverbruik wagenpark</c:v>
                </c:pt>
                <c:pt idx="2">
                  <c:v>Elektriciteitsverbruik vastgoed</c:v>
                </c:pt>
                <c:pt idx="3">
                  <c:v>Elektriciteitsverbruik wagenpark</c:v>
                </c:pt>
              </c:strCache>
              <c:extLst/>
            </c:strRef>
          </c:cat>
          <c:val>
            <c:numRef>
              <c:f>('Omrekening naar GJ'!$C$31,'Omrekening naar GJ'!$C$33:$C$35)</c:f>
              <c:numCache>
                <c:formatCode>_(* #,##0.00_);_(* \(#,##0.00\);_(* "-"??_);_(@_)</c:formatCode>
                <c:ptCount val="4"/>
                <c:pt idx="0">
                  <c:v>1177.8015779999998</c:v>
                </c:pt>
                <c:pt idx="1">
                  <c:v>8621.9926061999977</c:v>
                </c:pt>
                <c:pt idx="2">
                  <c:v>939.25260000000003</c:v>
                </c:pt>
                <c:pt idx="3">
                  <c:v>354.54769199999998</c:v>
                </c:pt>
              </c:numCache>
              <c:extLst/>
            </c:numRef>
          </c:val>
          <c:extLst>
            <c:ext xmlns:c16="http://schemas.microsoft.com/office/drawing/2014/chart" uri="{C3380CC4-5D6E-409C-BE32-E72D297353CC}">
              <c16:uniqueId val="{0000000C-86E1-49D6-AF03-D70C71038D7E}"/>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0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nl-NL"/>
        </a:p>
      </c:txPr>
    </c:legend>
    <c:plotVisOnly val="1"/>
    <c:dispBlanksAs val="zero"/>
    <c:showDLblsOverMax val="1"/>
  </c:chart>
  <c:spPr>
    <a:solidFill>
      <a:schemeClr val="lt1"/>
    </a:solidFill>
    <a:ln w="6350" cap="flat" cmpd="sng" algn="ctr">
      <a:noFill/>
      <a:prstDash val="solid"/>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nl-N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b="1">
                <a:solidFill>
                  <a:srgbClr val="6ABD92"/>
                </a:solidFill>
              </a:rPr>
              <a:t>Figuur V4. </a:t>
            </a:r>
            <a:r>
              <a:rPr lang="nl-NL" b="1">
                <a:solidFill>
                  <a:schemeClr val="tx1">
                    <a:lumMod val="50000"/>
                    <a:lumOff val="50000"/>
                  </a:schemeClr>
                </a:solidFill>
              </a:rPr>
              <a:t>Tabel D. Milieuclassificaties wagenpark</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barChart>
        <c:barDir val="col"/>
        <c:grouping val="clustered"/>
        <c:varyColors val="0"/>
        <c:ser>
          <c:idx val="0"/>
          <c:order val="0"/>
          <c:tx>
            <c:strRef>
              <c:f>Voortgang!$U$10</c:f>
              <c:strCache>
                <c:ptCount val="1"/>
                <c:pt idx="0">
                  <c:v>2023</c:v>
                </c:pt>
              </c:strCache>
            </c:strRef>
          </c:tx>
          <c:spPr>
            <a:solidFill>
              <a:schemeClr val="accent6">
                <a:tint val="58000"/>
              </a:schemeClr>
            </a:solidFill>
            <a:ln>
              <a:noFill/>
            </a:ln>
            <a:effectLst/>
          </c:spPr>
          <c:invertIfNegative val="0"/>
          <c:cat>
            <c:strRef>
              <c:f>Voortgang!$T$11:$T$17</c:f>
              <c:strCache>
                <c:ptCount val="6"/>
                <c:pt idx="0">
                  <c:v>Elektrisch</c:v>
                </c:pt>
                <c:pt idx="1">
                  <c:v>6</c:v>
                </c:pt>
                <c:pt idx="2">
                  <c:v>5</c:v>
                </c:pt>
                <c:pt idx="3">
                  <c:v>4</c:v>
                </c:pt>
                <c:pt idx="4">
                  <c:v>3</c:v>
                </c:pt>
                <c:pt idx="5">
                  <c:v>Geen classificatie</c:v>
                </c:pt>
              </c:strCache>
            </c:strRef>
          </c:cat>
          <c:val>
            <c:numRef>
              <c:f>Voortgang!$U$11:$U$17</c:f>
              <c:numCache>
                <c:formatCode>General</c:formatCode>
                <c:ptCount val="7"/>
                <c:pt idx="0">
                  <c:v>14</c:v>
                </c:pt>
                <c:pt idx="1">
                  <c:v>99</c:v>
                </c:pt>
                <c:pt idx="2">
                  <c:v>0</c:v>
                </c:pt>
                <c:pt idx="3">
                  <c:v>0</c:v>
                </c:pt>
                <c:pt idx="4">
                  <c:v>0</c:v>
                </c:pt>
                <c:pt idx="5">
                  <c:v>0</c:v>
                </c:pt>
              </c:numCache>
            </c:numRef>
          </c:val>
          <c:extLst>
            <c:ext xmlns:c16="http://schemas.microsoft.com/office/drawing/2014/chart" uri="{C3380CC4-5D6E-409C-BE32-E72D297353CC}">
              <c16:uniqueId val="{00000000-3A08-4814-8E07-2C2ACFFD88DE}"/>
            </c:ext>
          </c:extLst>
        </c:ser>
        <c:ser>
          <c:idx val="1"/>
          <c:order val="1"/>
          <c:tx>
            <c:strRef>
              <c:f>Voortgang!$V$10</c:f>
              <c:strCache>
                <c:ptCount val="1"/>
                <c:pt idx="0">
                  <c:v>2024</c:v>
                </c:pt>
              </c:strCache>
            </c:strRef>
          </c:tx>
          <c:spPr>
            <a:solidFill>
              <a:schemeClr val="accent6">
                <a:tint val="86000"/>
              </a:schemeClr>
            </a:solidFill>
            <a:ln>
              <a:noFill/>
            </a:ln>
            <a:effectLst/>
          </c:spPr>
          <c:invertIfNegative val="0"/>
          <c:cat>
            <c:strRef>
              <c:f>Voortgang!$T$11:$T$17</c:f>
              <c:strCache>
                <c:ptCount val="6"/>
                <c:pt idx="0">
                  <c:v>Elektrisch</c:v>
                </c:pt>
                <c:pt idx="1">
                  <c:v>6</c:v>
                </c:pt>
                <c:pt idx="2">
                  <c:v>5</c:v>
                </c:pt>
                <c:pt idx="3">
                  <c:v>4</c:v>
                </c:pt>
                <c:pt idx="4">
                  <c:v>3</c:v>
                </c:pt>
                <c:pt idx="5">
                  <c:v>Geen classificatie</c:v>
                </c:pt>
              </c:strCache>
            </c:strRef>
          </c:cat>
          <c:val>
            <c:numRef>
              <c:f>Voortgang!$V$11:$V$17</c:f>
              <c:numCache>
                <c:formatCode>0</c:formatCode>
                <c:ptCount val="7"/>
                <c:pt idx="0">
                  <c:v>41</c:v>
                </c:pt>
                <c:pt idx="1">
                  <c:v>101</c:v>
                </c:pt>
                <c:pt idx="2">
                  <c:v>0</c:v>
                </c:pt>
                <c:pt idx="3">
                  <c:v>0</c:v>
                </c:pt>
                <c:pt idx="4">
                  <c:v>0</c:v>
                </c:pt>
                <c:pt idx="5">
                  <c:v>0</c:v>
                </c:pt>
              </c:numCache>
            </c:numRef>
          </c:val>
          <c:extLst>
            <c:ext xmlns:c16="http://schemas.microsoft.com/office/drawing/2014/chart" uri="{C3380CC4-5D6E-409C-BE32-E72D297353CC}">
              <c16:uniqueId val="{00000001-3A08-4814-8E07-2C2ACFFD88DE}"/>
            </c:ext>
          </c:extLst>
        </c:ser>
        <c:dLbls>
          <c:showLegendKey val="0"/>
          <c:showVal val="0"/>
          <c:showCatName val="0"/>
          <c:showSerName val="0"/>
          <c:showPercent val="0"/>
          <c:showBubbleSize val="0"/>
        </c:dLbls>
        <c:gapWidth val="219"/>
        <c:overlap val="-27"/>
        <c:axId val="1137655231"/>
        <c:axId val="140227631"/>
        <c:extLst>
          <c:ext xmlns:c15="http://schemas.microsoft.com/office/drawing/2012/chart" uri="{02D57815-91ED-43cb-92C2-25804820EDAC}">
            <c15:filteredBarSeries>
              <c15:ser>
                <c:idx val="2"/>
                <c:order val="2"/>
                <c:tx>
                  <c:strRef>
                    <c:extLst>
                      <c:ext uri="{02D57815-91ED-43cb-92C2-25804820EDAC}">
                        <c15:formulaRef>
                          <c15:sqref>Voortgang!$W$10</c15:sqref>
                        </c15:formulaRef>
                      </c:ext>
                    </c:extLst>
                    <c:strCache>
                      <c:ptCount val="1"/>
                      <c:pt idx="0">
                        <c:v>2025</c:v>
                      </c:pt>
                    </c:strCache>
                  </c:strRef>
                </c:tx>
                <c:spPr>
                  <a:solidFill>
                    <a:schemeClr val="accent6">
                      <a:shade val="86000"/>
                    </a:schemeClr>
                  </a:solidFill>
                  <a:ln>
                    <a:noFill/>
                  </a:ln>
                  <a:effectLst/>
                </c:spPr>
                <c:invertIfNegative val="0"/>
                <c:cat>
                  <c:strRef>
                    <c:extLst>
                      <c:ext uri="{02D57815-91ED-43cb-92C2-25804820EDAC}">
                        <c15:formulaRef>
                          <c15:sqref>Voortgang!$T$11:$T$17</c15:sqref>
                        </c15:formulaRef>
                      </c:ext>
                    </c:extLst>
                    <c:strCache>
                      <c:ptCount val="6"/>
                      <c:pt idx="0">
                        <c:v>Elektrisch</c:v>
                      </c:pt>
                      <c:pt idx="1">
                        <c:v>6</c:v>
                      </c:pt>
                      <c:pt idx="2">
                        <c:v>5</c:v>
                      </c:pt>
                      <c:pt idx="3">
                        <c:v>4</c:v>
                      </c:pt>
                      <c:pt idx="4">
                        <c:v>3</c:v>
                      </c:pt>
                      <c:pt idx="5">
                        <c:v>Geen classificatie</c:v>
                      </c:pt>
                    </c:strCache>
                  </c:strRef>
                </c:cat>
                <c:val>
                  <c:numRef>
                    <c:extLst>
                      <c:ext uri="{02D57815-91ED-43cb-92C2-25804820EDAC}">
                        <c15:formulaRef>
                          <c15:sqref>Voortgang!$W$11:$W$17</c15:sqref>
                        </c15:formulaRef>
                      </c:ext>
                    </c:extLst>
                    <c:numCache>
                      <c:formatCode>General</c:formatCode>
                      <c:ptCount val="7"/>
                    </c:numCache>
                  </c:numRef>
                </c:val>
                <c:extLst>
                  <c:ext xmlns:c16="http://schemas.microsoft.com/office/drawing/2014/chart" uri="{C3380CC4-5D6E-409C-BE32-E72D297353CC}">
                    <c16:uniqueId val="{00000002-3A08-4814-8E07-2C2ACFFD88D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Voortgang!$X$10</c15:sqref>
                        </c15:formulaRef>
                      </c:ext>
                    </c:extLst>
                    <c:strCache>
                      <c:ptCount val="1"/>
                      <c:pt idx="0">
                        <c:v>2026</c:v>
                      </c:pt>
                    </c:strCache>
                  </c:strRef>
                </c:tx>
                <c:spPr>
                  <a:solidFill>
                    <a:schemeClr val="accent6">
                      <a:shade val="58000"/>
                    </a:schemeClr>
                  </a:solidFill>
                  <a:ln>
                    <a:noFill/>
                  </a:ln>
                  <a:effectLst/>
                </c:spPr>
                <c:invertIfNegative val="0"/>
                <c:cat>
                  <c:strRef>
                    <c:extLst xmlns:c15="http://schemas.microsoft.com/office/drawing/2012/chart">
                      <c:ext xmlns:c15="http://schemas.microsoft.com/office/drawing/2012/chart" uri="{02D57815-91ED-43cb-92C2-25804820EDAC}">
                        <c15:formulaRef>
                          <c15:sqref>Voortgang!$T$11:$T$17</c15:sqref>
                        </c15:formulaRef>
                      </c:ext>
                    </c:extLst>
                    <c:strCache>
                      <c:ptCount val="6"/>
                      <c:pt idx="0">
                        <c:v>Elektrisch</c:v>
                      </c:pt>
                      <c:pt idx="1">
                        <c:v>6</c:v>
                      </c:pt>
                      <c:pt idx="2">
                        <c:v>5</c:v>
                      </c:pt>
                      <c:pt idx="3">
                        <c:v>4</c:v>
                      </c:pt>
                      <c:pt idx="4">
                        <c:v>3</c:v>
                      </c:pt>
                      <c:pt idx="5">
                        <c:v>Geen classificatie</c:v>
                      </c:pt>
                    </c:strCache>
                  </c:strRef>
                </c:cat>
                <c:val>
                  <c:numRef>
                    <c:extLst xmlns:c15="http://schemas.microsoft.com/office/drawing/2012/chart">
                      <c:ext xmlns:c15="http://schemas.microsoft.com/office/drawing/2012/chart" uri="{02D57815-91ED-43cb-92C2-25804820EDAC}">
                        <c15:formulaRef>
                          <c15:sqref>Voortgang!$X$11:$X$17</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3-3A08-4814-8E07-2C2ACFFD88DE}"/>
                  </c:ext>
                </c:extLst>
              </c15:ser>
            </c15:filteredBarSeries>
          </c:ext>
        </c:extLst>
      </c:barChart>
      <c:catAx>
        <c:axId val="1137655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0227631"/>
        <c:crosses val="autoZero"/>
        <c:auto val="1"/>
        <c:lblAlgn val="ctr"/>
        <c:lblOffset val="100"/>
        <c:noMultiLvlLbl val="0"/>
      </c:catAx>
      <c:valAx>
        <c:axId val="140227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137655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0.86937</cdr:x>
      <cdr:y>0.06745</cdr:y>
    </cdr:from>
    <cdr:to>
      <cdr:x>0.99509</cdr:x>
      <cdr:y>0.14259</cdr:y>
    </cdr:to>
    <cdr:sp macro="" textlink="">
      <cdr:nvSpPr>
        <cdr:cNvPr id="3" name="Tekstvak 2">
          <a:extLst xmlns:a="http://schemas.openxmlformats.org/drawingml/2006/main">
            <a:ext uri="{FF2B5EF4-FFF2-40B4-BE49-F238E27FC236}">
              <a16:creationId xmlns:a16="http://schemas.microsoft.com/office/drawing/2014/main" id="{2EADC1B6-CE5A-42DA-AD81-4025BB93705B}"/>
            </a:ext>
          </a:extLst>
        </cdr:cNvPr>
        <cdr:cNvSpPr txBox="1"/>
      </cdr:nvSpPr>
      <cdr:spPr>
        <a:xfrm xmlns:a="http://schemas.openxmlformats.org/drawingml/2006/main">
          <a:off x="8505860" y="299968"/>
          <a:ext cx="1230031" cy="3341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fld id="{F69900EE-F469-EC43-8416-B1DB14C484EF}" type="TxLink">
            <a:rPr lang="en-US" sz="900" b="0" i="0" u="none" strike="noStrike">
              <a:solidFill>
                <a:srgbClr val="000000"/>
              </a:solidFill>
              <a:latin typeface="Verdana"/>
              <a:ea typeface="Verdana"/>
              <a:cs typeface="Verdana"/>
            </a:rPr>
            <a:pPr algn="r"/>
            <a:t>2024</a:t>
          </a:fld>
          <a:endParaRPr lang="nl-NL" sz="1800" b="1">
            <a:solidFill>
              <a:srgbClr val="7F7F7F"/>
            </a:solidFill>
          </a:endParaRPr>
        </a:p>
      </cdr:txBody>
    </cdr:sp>
  </cdr:relSizeAnchor>
  <cdr:relSizeAnchor xmlns:cdr="http://schemas.openxmlformats.org/drawingml/2006/chartDrawing">
    <cdr:from>
      <cdr:x>0.84667</cdr:x>
      <cdr:y>0.13348</cdr:y>
    </cdr:from>
    <cdr:to>
      <cdr:x>0.99513</cdr:x>
      <cdr:y>0.19881</cdr:y>
    </cdr:to>
    <cdr:sp macro="" textlink="">
      <cdr:nvSpPr>
        <cdr:cNvPr id="4" name="Tekstvak 3">
          <a:extLst xmlns:a="http://schemas.openxmlformats.org/drawingml/2006/main">
            <a:ext uri="{FF2B5EF4-FFF2-40B4-BE49-F238E27FC236}">
              <a16:creationId xmlns:a16="http://schemas.microsoft.com/office/drawing/2014/main" id="{93913480-D07A-4817-A513-CEBB56BF9471}"/>
            </a:ext>
          </a:extLst>
        </cdr:cNvPr>
        <cdr:cNvSpPr txBox="1"/>
      </cdr:nvSpPr>
      <cdr:spPr>
        <a:xfrm xmlns:a="http://schemas.openxmlformats.org/drawingml/2006/main">
          <a:off x="8283735" y="593649"/>
          <a:ext cx="1452517" cy="2905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fld id="{F6456C97-D5DA-0B49-8424-4209307A868F}" type="TxLink">
            <a:rPr lang="en-US" sz="900" b="0" i="0" u="none" strike="noStrike">
              <a:solidFill>
                <a:srgbClr val="000000"/>
              </a:solidFill>
              <a:latin typeface="Verdana"/>
              <a:ea typeface="Verdana"/>
              <a:cs typeface="Verdana"/>
            </a:rPr>
            <a:pPr algn="r"/>
            <a:t>Heel jaar</a:t>
          </a:fld>
          <a:endParaRPr lang="nl-NL" sz="2000" b="1">
            <a:solidFill>
              <a:srgbClr val="7F7F7F"/>
            </a:solidFill>
          </a:endParaRPr>
        </a:p>
      </cdr:txBody>
    </cdr:sp>
  </cdr:relSizeAnchor>
  <cdr:relSizeAnchor xmlns:cdr="http://schemas.openxmlformats.org/drawingml/2006/chartDrawing">
    <cdr:from>
      <cdr:x>0.6724</cdr:x>
      <cdr:y>0.00337</cdr:y>
    </cdr:from>
    <cdr:to>
      <cdr:x>0.99611</cdr:x>
      <cdr:y>0.08904</cdr:y>
    </cdr:to>
    <cdr:sp macro="" textlink="">
      <cdr:nvSpPr>
        <cdr:cNvPr id="2" name="Tekstvak 1">
          <a:extLst xmlns:a="http://schemas.openxmlformats.org/drawingml/2006/main">
            <a:ext uri="{FF2B5EF4-FFF2-40B4-BE49-F238E27FC236}">
              <a16:creationId xmlns:a16="http://schemas.microsoft.com/office/drawing/2014/main" id="{224DBEFA-63D6-42FE-ACC1-C463276D1E2D}"/>
            </a:ext>
          </a:extLst>
        </cdr:cNvPr>
        <cdr:cNvSpPr txBox="1"/>
      </cdr:nvSpPr>
      <cdr:spPr>
        <a:xfrm xmlns:a="http://schemas.openxmlformats.org/drawingml/2006/main">
          <a:off x="6578737" y="15006"/>
          <a:ext cx="3167063"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fld id="{04862CE4-D16A-47FB-81F8-7B5855312B23}" type="TxLink">
            <a:rPr lang="en-US" sz="1800" b="1" i="0" u="none" strike="noStrike">
              <a:solidFill>
                <a:srgbClr val="7F7F7F"/>
              </a:solidFill>
              <a:latin typeface="Verdana" panose="020B0604030504040204" pitchFamily="34" charset="0"/>
              <a:ea typeface="Verdana" panose="020B0604030504040204" pitchFamily="34" charset="0"/>
            </a:rPr>
            <a:pPr algn="r"/>
            <a:t> </a:t>
          </a:fld>
          <a:endParaRPr lang="nl-NL" sz="1800" b="1">
            <a:solidFill>
              <a:srgbClr val="7F7F7F"/>
            </a:solidFill>
            <a:latin typeface="Verdana" panose="020B0604030504040204" pitchFamily="34" charset="0"/>
            <a:ea typeface="Verdana" panose="020B0604030504040204" pitchFamily="34" charset="0"/>
          </a:endParaRPr>
        </a:p>
      </cdr:txBody>
    </cdr:sp>
  </cdr:relSizeAnchor>
</c:userShape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aaa997-afa5-4b64-bd97-259e0fd27eb2">
      <Terms xmlns="http://schemas.microsoft.com/office/infopath/2007/PartnerControls"/>
    </lcf76f155ced4ddcb4097134ff3c332f>
    <TaxCatchAll xmlns="b8098909-10f2-4068-ab9a-0111c7a6a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9449DE166FCF46BFCED93A23A1A017" ma:contentTypeVersion="11" ma:contentTypeDescription="Een nieuw document maken." ma:contentTypeScope="" ma:versionID="60f6d35c7e4a6326a0d7d70f0807e1af">
  <xsd:schema xmlns:xsd="http://www.w3.org/2001/XMLSchema" xmlns:xs="http://www.w3.org/2001/XMLSchema" xmlns:p="http://schemas.microsoft.com/office/2006/metadata/properties" xmlns:ns2="f1aaa997-afa5-4b64-bd97-259e0fd27eb2" xmlns:ns3="b8098909-10f2-4068-ab9a-0111c7a6ab35" targetNamespace="http://schemas.microsoft.com/office/2006/metadata/properties" ma:root="true" ma:fieldsID="16710b24d0340d269a2e20cb3a02b31e" ns2:_="" ns3:_="">
    <xsd:import namespace="f1aaa997-afa5-4b64-bd97-259e0fd27eb2"/>
    <xsd:import namespace="b8098909-10f2-4068-ab9a-0111c7a6a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aa997-afa5-4b64-bd97-259e0fd2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21ce28c-4b3f-4641-9a8d-b0705de25b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98909-10f2-4068-ab9a-0111c7a6ab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255ce-3328-40d8-af3a-42253e5c1f7a}" ma:internalName="TaxCatchAll" ma:showField="CatchAllData" ma:web="b8098909-10f2-4068-ab9a-0111c7a6a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AD586-2525-4E2B-8A41-CEB620ED8E04}">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8098909-10f2-4068-ab9a-0111c7a6ab35"/>
    <ds:schemaRef ds:uri="f1aaa997-afa5-4b64-bd97-259e0fd27eb2"/>
    <ds:schemaRef ds:uri="http://purl.org/dc/elements/1.1/"/>
  </ds:schemaRefs>
</ds:datastoreItem>
</file>

<file path=customXml/itemProps2.xml><?xml version="1.0" encoding="utf-8"?>
<ds:datastoreItem xmlns:ds="http://schemas.openxmlformats.org/officeDocument/2006/customXml" ds:itemID="{91B9B92C-A668-41C0-9704-1EC31CF82A4C}">
  <ds:schemaRefs>
    <ds:schemaRef ds:uri="http://schemas.microsoft.com/sharepoint/v3/contenttype/forms"/>
  </ds:schemaRefs>
</ds:datastoreItem>
</file>

<file path=customXml/itemProps3.xml><?xml version="1.0" encoding="utf-8"?>
<ds:datastoreItem xmlns:ds="http://schemas.openxmlformats.org/officeDocument/2006/customXml" ds:itemID="{9A4AB61C-BDBD-724D-A14F-DBC669404148}">
  <ds:schemaRefs>
    <ds:schemaRef ds:uri="http://schemas.openxmlformats.org/officeDocument/2006/bibliography"/>
  </ds:schemaRefs>
</ds:datastoreItem>
</file>

<file path=customXml/itemProps4.xml><?xml version="1.0" encoding="utf-8"?>
<ds:datastoreItem xmlns:ds="http://schemas.openxmlformats.org/officeDocument/2006/customXml" ds:itemID="{25EB0F99-3457-409B-A39C-F92ABF23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aa997-afa5-4b64-bd97-259e0fd27eb2"/>
    <ds:schemaRef ds:uri="b8098909-10f2-4068-ab9a-0111c7a6a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CO2-verslag</Template>
  <TotalTime>69</TotalTime>
  <Pages>28</Pages>
  <Words>7009</Words>
  <Characters>38554</Characters>
  <Application>Microsoft Office Word</Application>
  <DocSecurity>0</DocSecurity>
  <Lines>321</Lines>
  <Paragraphs>90</Paragraphs>
  <ScaleCrop>false</ScaleCrop>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CO2-Managementplan</dc:title>
  <dc:subject/>
  <dc:creator>Marcella Mekenkamp</dc:creator>
  <cp:keywords/>
  <dc:description/>
  <cp:lastModifiedBy>Mark Rademakers</cp:lastModifiedBy>
  <cp:revision>723</cp:revision>
  <cp:lastPrinted>2024-05-03T11:34:00Z</cp:lastPrinted>
  <dcterms:created xsi:type="dcterms:W3CDTF">2024-04-08T11:12:00Z</dcterms:created>
  <dcterms:modified xsi:type="dcterms:W3CDTF">2025-07-09T12:10:00Z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0x0101007E9449DE166FCF46BFCED93A23A1A017</vt:lpwstr>
  </property>
  <property fmtid="{D5CDD505-2E9C-101B-9397-08002B2CF9AE}" pid="3" name="MediaServiceImageTags">
    <vt:lpwstr/>
  </property>
</Properties>
</file>